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C2" w:rsidRDefault="007C04C2" w:rsidP="007C04C2">
      <w:pPr>
        <w:rPr>
          <w:lang w:val="sr-Cyrl-CS"/>
        </w:rPr>
      </w:pPr>
      <w:r>
        <w:rPr>
          <w:b/>
          <w:lang w:val="sr-Cyrl-CS"/>
        </w:rPr>
        <w:t>Табела 5.</w:t>
      </w:r>
      <w:r>
        <w:rPr>
          <w:b/>
        </w:rPr>
        <w:t>2.</w:t>
      </w:r>
      <w:r>
        <w:rPr>
          <w:b/>
          <w:lang w:val="sr-Cyrl-CS"/>
        </w:rPr>
        <w:t xml:space="preserve"> </w:t>
      </w:r>
      <w:r>
        <w:rPr>
          <w:lang w:val="sr-Cyrl-CS"/>
        </w:rPr>
        <w:t>Спецификација</w:t>
      </w:r>
      <w:r>
        <w:t xml:space="preserve"> </w:t>
      </w:r>
      <w:r>
        <w:rPr>
          <w:lang w:val="sr-Cyrl-CS"/>
        </w:rPr>
        <w:t xml:space="preserve"> предмета на студијском програму основних студија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051"/>
        <w:gridCol w:w="809"/>
        <w:gridCol w:w="1761"/>
        <w:gridCol w:w="78"/>
        <w:gridCol w:w="2810"/>
        <w:gridCol w:w="317"/>
        <w:gridCol w:w="1247"/>
      </w:tblGrid>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rPr>
                <w:bCs/>
                <w:sz w:val="22"/>
                <w:szCs w:val="22"/>
              </w:rPr>
            </w:pPr>
            <w:r>
              <w:rPr>
                <w:bCs/>
                <w:sz w:val="22"/>
                <w:szCs w:val="22"/>
                <w:lang w:val="sr-Cyrl-CS"/>
              </w:rPr>
              <w:t>Студијски програм</w:t>
            </w:r>
            <w:r>
              <w:rPr>
                <w:bCs/>
                <w:sz w:val="22"/>
                <w:szCs w:val="22"/>
                <w:lang w:val="ru-RU"/>
              </w:rPr>
              <w:t>/студијски програми</w:t>
            </w:r>
            <w:r>
              <w:rPr>
                <w:bCs/>
                <w:sz w:val="22"/>
                <w:szCs w:val="22"/>
                <w:lang w:val="sr-Cyrl-CS"/>
              </w:rPr>
              <w:t xml:space="preserve"> </w:t>
            </w:r>
            <w:r>
              <w:rPr>
                <w:bCs/>
                <w:sz w:val="22"/>
                <w:szCs w:val="22"/>
              </w:rPr>
              <w:t xml:space="preserve">: </w:t>
            </w:r>
            <w:r w:rsidR="002C0420" w:rsidRPr="002C0420">
              <w:rPr>
                <w:bCs/>
                <w:sz w:val="22"/>
                <w:szCs w:val="22"/>
              </w:rPr>
              <w:t>Шумарство</w:t>
            </w:r>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rPr>
                <w:bCs/>
                <w:color w:val="FF0000"/>
                <w:sz w:val="22"/>
                <w:szCs w:val="22"/>
                <w:lang w:val="sr-Cyrl-CS"/>
              </w:rPr>
            </w:pPr>
            <w:r>
              <w:rPr>
                <w:sz w:val="24"/>
                <w:szCs w:val="24"/>
                <w:lang w:val="sr-Cyrl-CS"/>
              </w:rPr>
              <w:t xml:space="preserve">Врста </w:t>
            </w:r>
            <w:r>
              <w:rPr>
                <w:sz w:val="24"/>
                <w:szCs w:val="24"/>
                <w:lang w:val="ru-RU"/>
              </w:rPr>
              <w:t xml:space="preserve">и ниво студија: </w:t>
            </w:r>
            <w:r w:rsidR="002C0420" w:rsidRPr="002C0420">
              <w:rPr>
                <w:sz w:val="24"/>
                <w:szCs w:val="24"/>
                <w:lang w:val="ru-RU"/>
              </w:rPr>
              <w:t>први степен</w:t>
            </w:r>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rPr>
                <w:sz w:val="22"/>
                <w:szCs w:val="22"/>
                <w:lang w:val="sr-Cyrl-CS"/>
              </w:rPr>
            </w:pPr>
            <w:r>
              <w:rPr>
                <w:bCs/>
                <w:sz w:val="22"/>
                <w:szCs w:val="22"/>
                <w:lang w:val="sr-Cyrl-CS"/>
              </w:rPr>
              <w:t xml:space="preserve">Назив предмета: </w:t>
            </w:r>
            <w:r w:rsidR="002C0420" w:rsidRPr="0073720A">
              <w:rPr>
                <w:b/>
                <w:bCs/>
                <w:sz w:val="22"/>
                <w:szCs w:val="22"/>
                <w:lang w:val="sr-Cyrl-CS"/>
              </w:rPr>
              <w:t>Семенарство, расадничарство и пошумљавање</w:t>
            </w:r>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rPr>
                <w:bCs/>
                <w:sz w:val="22"/>
                <w:szCs w:val="22"/>
                <w:lang w:val="sr-Cyrl-CS"/>
              </w:rPr>
            </w:pPr>
            <w:r>
              <w:rPr>
                <w:bCs/>
                <w:sz w:val="22"/>
                <w:szCs w:val="22"/>
                <w:lang w:val="sr-Cyrl-CS"/>
              </w:rPr>
              <w:t>Наставник</w:t>
            </w:r>
            <w:r>
              <w:rPr>
                <w:bCs/>
                <w:sz w:val="22"/>
                <w:szCs w:val="22"/>
                <w:lang w:val="ru-RU"/>
              </w:rPr>
              <w:t xml:space="preserve"> (</w:t>
            </w:r>
            <w:r>
              <w:rPr>
                <w:sz w:val="18"/>
                <w:szCs w:val="18"/>
                <w:lang w:val="sr-Cyrl-CS"/>
              </w:rPr>
              <w:t>Име, средње слово, презиме</w:t>
            </w:r>
            <w:r>
              <w:rPr>
                <w:sz w:val="18"/>
                <w:szCs w:val="18"/>
                <w:lang w:val="ru-RU"/>
              </w:rPr>
              <w:t>)</w:t>
            </w:r>
            <w:r>
              <w:rPr>
                <w:bCs/>
                <w:sz w:val="22"/>
                <w:szCs w:val="22"/>
                <w:lang w:val="sr-Cyrl-CS"/>
              </w:rPr>
              <w:t xml:space="preserve">: </w:t>
            </w:r>
            <w:r w:rsidR="00D939C7">
              <w:rPr>
                <w:b/>
                <w:bCs/>
                <w:sz w:val="22"/>
                <w:szCs w:val="22"/>
                <w:lang w:val="sr-Cyrl-CS"/>
              </w:rPr>
              <w:fldChar w:fldCharType="begin"/>
            </w:r>
            <w:r w:rsidR="00D939C7">
              <w:rPr>
                <w:b/>
                <w:bCs/>
                <w:sz w:val="22"/>
                <w:szCs w:val="22"/>
                <w:lang w:val="sr-Cyrl-CS"/>
              </w:rPr>
              <w:instrText xml:space="preserve"> HYPERLINK "../../ПРИЛОГ%209.3.%20-%20КЊИГА_НАСТАВНИКА/Владан%20К.%20Иветић.docx" </w:instrText>
            </w:r>
            <w:r w:rsidR="00D939C7">
              <w:rPr>
                <w:b/>
                <w:bCs/>
                <w:sz w:val="22"/>
                <w:szCs w:val="22"/>
                <w:lang w:val="sr-Cyrl-CS"/>
              </w:rPr>
            </w:r>
            <w:r w:rsidR="00D939C7">
              <w:rPr>
                <w:b/>
                <w:bCs/>
                <w:sz w:val="22"/>
                <w:szCs w:val="22"/>
                <w:lang w:val="sr-Cyrl-CS"/>
              </w:rPr>
              <w:fldChar w:fldCharType="separate"/>
            </w:r>
            <w:r w:rsidR="002C0420" w:rsidRPr="00D939C7">
              <w:rPr>
                <w:rStyle w:val="Hyperlink"/>
                <w:b/>
                <w:bCs/>
                <w:sz w:val="22"/>
                <w:szCs w:val="22"/>
                <w:lang w:val="sr-Cyrl-CS"/>
              </w:rPr>
              <w:t xml:space="preserve">Владан </w:t>
            </w:r>
            <w:r w:rsidR="002C0420" w:rsidRPr="00D939C7">
              <w:rPr>
                <w:rStyle w:val="Hyperlink"/>
                <w:b/>
                <w:bCs/>
                <w:sz w:val="22"/>
                <w:szCs w:val="22"/>
                <w:lang w:val="en-US"/>
              </w:rPr>
              <w:t xml:space="preserve">K. </w:t>
            </w:r>
            <w:r w:rsidR="002C0420" w:rsidRPr="00D939C7">
              <w:rPr>
                <w:rStyle w:val="Hyperlink"/>
                <w:b/>
                <w:bCs/>
                <w:sz w:val="22"/>
                <w:szCs w:val="22"/>
                <w:lang w:val="sr-Cyrl-CS"/>
              </w:rPr>
              <w:t>Иветић</w:t>
            </w:r>
            <w:r w:rsidR="00D939C7">
              <w:rPr>
                <w:b/>
                <w:bCs/>
                <w:sz w:val="22"/>
                <w:szCs w:val="22"/>
                <w:lang w:val="sr-Cyrl-CS"/>
              </w:rPr>
              <w:fldChar w:fldCharType="end"/>
            </w:r>
            <w:r w:rsidR="00A857A2">
              <w:rPr>
                <w:b/>
                <w:bCs/>
                <w:sz w:val="22"/>
                <w:szCs w:val="22"/>
                <w:lang w:val="sr-Cyrl-CS"/>
              </w:rPr>
              <w:t xml:space="preserve">, </w:t>
            </w:r>
            <w:hyperlink r:id="rId6" w:history="1">
              <w:r w:rsidR="00A857A2" w:rsidRPr="00D939C7">
                <w:rPr>
                  <w:rStyle w:val="Hyperlink"/>
                  <w:b/>
                  <w:bCs/>
                  <w:sz w:val="22"/>
                  <w:szCs w:val="22"/>
                  <w:lang w:val="sr-Cyrl-CS"/>
                </w:rPr>
                <w:t>Новаковић Р. Маријана</w:t>
              </w:r>
            </w:hyperlink>
            <w:bookmarkStart w:id="0" w:name="_GoBack"/>
            <w:bookmarkEnd w:id="0"/>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rPr>
                <w:sz w:val="22"/>
                <w:szCs w:val="22"/>
                <w:lang w:val="en-US"/>
              </w:rPr>
            </w:pPr>
            <w:r>
              <w:rPr>
                <w:bCs/>
                <w:sz w:val="22"/>
                <w:szCs w:val="22"/>
                <w:lang w:val="sr-Cyrl-CS"/>
              </w:rPr>
              <w:t>Статус предмета:</w:t>
            </w:r>
            <w:r>
              <w:rPr>
                <w:bCs/>
                <w:sz w:val="22"/>
                <w:szCs w:val="22"/>
                <w:lang w:val="en-US"/>
              </w:rPr>
              <w:t xml:space="preserve"> </w:t>
            </w:r>
            <w:proofErr w:type="spellStart"/>
            <w:r w:rsidR="002C0420" w:rsidRPr="002C0420">
              <w:rPr>
                <w:bCs/>
                <w:sz w:val="22"/>
                <w:szCs w:val="22"/>
                <w:lang w:val="en-US"/>
              </w:rPr>
              <w:t>обавезни</w:t>
            </w:r>
            <w:proofErr w:type="spellEnd"/>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Pr="002C0420" w:rsidRDefault="007C04C2" w:rsidP="00595EA3">
            <w:pPr>
              <w:rPr>
                <w:sz w:val="22"/>
                <w:szCs w:val="22"/>
                <w:lang w:val="en-US"/>
              </w:rPr>
            </w:pPr>
            <w:r>
              <w:rPr>
                <w:sz w:val="22"/>
                <w:szCs w:val="22"/>
                <w:lang w:val="sr-Cyrl-CS"/>
              </w:rPr>
              <w:t xml:space="preserve">Број ЕСПБ: </w:t>
            </w:r>
            <w:r w:rsidR="002C0420">
              <w:rPr>
                <w:sz w:val="22"/>
                <w:szCs w:val="22"/>
                <w:lang w:val="en-US"/>
              </w:rPr>
              <w:t>7</w:t>
            </w:r>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rPr>
                <w:sz w:val="22"/>
                <w:szCs w:val="22"/>
                <w:lang w:val="sr-Cyrl-CS"/>
              </w:rPr>
            </w:pPr>
            <w:r>
              <w:rPr>
                <w:sz w:val="22"/>
                <w:szCs w:val="22"/>
                <w:lang w:val="sr-Cyrl-CS"/>
              </w:rPr>
              <w:t xml:space="preserve">Услов: </w:t>
            </w:r>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jc w:val="both"/>
              <w:rPr>
                <w:sz w:val="22"/>
                <w:szCs w:val="22"/>
                <w:lang w:val="sr-Cyrl-CS"/>
              </w:rPr>
            </w:pPr>
            <w:r w:rsidRPr="0073720A">
              <w:rPr>
                <w:b/>
                <w:sz w:val="22"/>
                <w:szCs w:val="22"/>
                <w:lang w:val="sr-Cyrl-CS"/>
              </w:rPr>
              <w:t>Циљ предмета:</w:t>
            </w:r>
            <w:r>
              <w:rPr>
                <w:sz w:val="22"/>
                <w:szCs w:val="22"/>
                <w:lang w:val="sr-Cyrl-CS"/>
              </w:rPr>
              <w:t xml:space="preserve"> </w:t>
            </w:r>
            <w:r w:rsidR="002C0420" w:rsidRPr="002C0420">
              <w:rPr>
                <w:sz w:val="22"/>
                <w:szCs w:val="22"/>
                <w:lang w:val="sr-Cyrl-CS"/>
              </w:rPr>
              <w:t>Циљ предмета је да слушаоце упозна са биолошким и технолошким аспектима: 1) производње семена (сакупљање, дорада, чување и сл.); 2) масовне производње шумских садница (у лејама, у посудама и сл.) и 3) пошумљавања (стрес пресадње, припрема земљишта, технике садње и сл.).</w:t>
            </w:r>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jc w:val="both"/>
              <w:rPr>
                <w:sz w:val="22"/>
                <w:szCs w:val="22"/>
                <w:lang w:val="sr-Cyrl-CS"/>
              </w:rPr>
            </w:pPr>
            <w:r w:rsidRPr="0073720A">
              <w:rPr>
                <w:b/>
                <w:sz w:val="22"/>
                <w:szCs w:val="22"/>
                <w:lang w:val="sr-Cyrl-CS"/>
              </w:rPr>
              <w:t>Исход предмета:</w:t>
            </w:r>
            <w:r>
              <w:rPr>
                <w:sz w:val="22"/>
                <w:szCs w:val="22"/>
                <w:lang w:val="sr-Cyrl-CS"/>
              </w:rPr>
              <w:t xml:space="preserve"> </w:t>
            </w:r>
            <w:r w:rsidR="002C0420" w:rsidRPr="002C0420">
              <w:rPr>
                <w:sz w:val="22"/>
                <w:szCs w:val="22"/>
                <w:lang w:val="sr-Cyrl-CS"/>
              </w:rPr>
              <w:t>Стицање неопходних знања за интензивну производњу шумског репродуктивног материјала), за различите намене. Оспособљеност руковођења производњом шумских садница различитих врста, различитим технологијама и за различите намене. Оспособљеност за израду пројеката и руковођење акцијама пошумљавања.</w:t>
            </w:r>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rPr>
                <w:bCs/>
                <w:sz w:val="22"/>
                <w:szCs w:val="22"/>
                <w:lang w:val="ru-RU"/>
              </w:rPr>
            </w:pPr>
            <w:r>
              <w:rPr>
                <w:bCs/>
                <w:sz w:val="22"/>
                <w:szCs w:val="22"/>
                <w:lang w:val="sr-Cyrl-CS"/>
              </w:rPr>
              <w:t>Садржај предмета</w:t>
            </w:r>
          </w:p>
          <w:p w:rsidR="007C04C2" w:rsidRDefault="007C04C2" w:rsidP="00595EA3">
            <w:pPr>
              <w:jc w:val="both"/>
              <w:rPr>
                <w:iCs/>
                <w:sz w:val="22"/>
                <w:szCs w:val="22"/>
              </w:rPr>
            </w:pPr>
            <w:r w:rsidRPr="0073720A">
              <w:rPr>
                <w:b/>
                <w:i/>
                <w:iCs/>
                <w:sz w:val="22"/>
                <w:szCs w:val="22"/>
                <w:lang w:val="sr-Cyrl-CS"/>
              </w:rPr>
              <w:t>Теоријска настава</w:t>
            </w:r>
            <w:r w:rsidR="0073720A">
              <w:rPr>
                <w:iCs/>
                <w:sz w:val="22"/>
                <w:szCs w:val="22"/>
                <w:lang w:val="en-US"/>
              </w:rPr>
              <w:t>:</w:t>
            </w:r>
            <w:r>
              <w:rPr>
                <w:iCs/>
                <w:sz w:val="22"/>
                <w:szCs w:val="22"/>
                <w:lang w:val="sr-Cyrl-CS"/>
              </w:rPr>
              <w:t xml:space="preserve"> </w:t>
            </w:r>
            <w:r w:rsidR="002C0420" w:rsidRPr="002C0420">
              <w:rPr>
                <w:iCs/>
                <w:sz w:val="22"/>
                <w:szCs w:val="22"/>
                <w:lang w:val="sr-Cyrl-CS"/>
              </w:rPr>
              <w:t>Објекти за производњу семена. Размножавање дрвећа (генеративно и вегетативно). Процена урода. Сакупљање урода. Дорада семена. Чување семена. Дормантност и клијање. Квалитет семена. Типови садног материјала. Производња садница са голим кореном. Производња контејнерских садница. Производња садница меких лишћара. Квалитет садница. Избор врста за пошумљавање. Састав култура. Припрема станишта. Првобитна густина култура. Начини оснивања вештачких шума. Радови после оснивања. Најчешћи узроци пропадања култура. Програми и пројекти пошумљавања. Посебни део.</w:t>
            </w:r>
          </w:p>
          <w:p w:rsidR="00DC63D3" w:rsidRDefault="007C04C2" w:rsidP="00595EA3">
            <w:pPr>
              <w:jc w:val="both"/>
              <w:rPr>
                <w:i/>
                <w:iCs/>
                <w:sz w:val="22"/>
                <w:szCs w:val="22"/>
              </w:rPr>
            </w:pPr>
            <w:r>
              <w:rPr>
                <w:i/>
                <w:iCs/>
                <w:sz w:val="22"/>
                <w:szCs w:val="22"/>
                <w:lang w:val="sr-Cyrl-CS"/>
              </w:rPr>
              <w:t>Практична настава:</w:t>
            </w:r>
          </w:p>
          <w:p w:rsidR="007C04C2" w:rsidRPr="0073720A" w:rsidRDefault="007C04C2" w:rsidP="00595EA3">
            <w:pPr>
              <w:jc w:val="both"/>
              <w:rPr>
                <w:bCs/>
                <w:i/>
                <w:sz w:val="22"/>
                <w:szCs w:val="22"/>
                <w:lang w:val="en-US"/>
              </w:rPr>
            </w:pPr>
            <w:r>
              <w:rPr>
                <w:i/>
                <w:iCs/>
                <w:sz w:val="22"/>
                <w:szCs w:val="22"/>
                <w:lang w:val="sr-Cyrl-CS"/>
              </w:rPr>
              <w:t xml:space="preserve"> </w:t>
            </w:r>
            <w:r w:rsidRPr="0073720A">
              <w:rPr>
                <w:b/>
                <w:bCs/>
                <w:i/>
                <w:sz w:val="22"/>
                <w:szCs w:val="22"/>
                <w:lang w:val="ru-RU"/>
              </w:rPr>
              <w:t>Други облици наставе – лабораторијске вежбе</w:t>
            </w:r>
            <w:r w:rsidR="0073720A" w:rsidRPr="0073720A">
              <w:rPr>
                <w:b/>
                <w:bCs/>
                <w:i/>
                <w:sz w:val="22"/>
                <w:szCs w:val="22"/>
                <w:lang w:val="en-US"/>
              </w:rPr>
              <w:t>:</w:t>
            </w:r>
            <w:r w:rsidR="002C0420">
              <w:rPr>
                <w:bCs/>
                <w:i/>
                <w:sz w:val="22"/>
                <w:szCs w:val="22"/>
                <w:lang w:val="en-US"/>
              </w:rPr>
              <w:t xml:space="preserve"> </w:t>
            </w:r>
            <w:proofErr w:type="spellStart"/>
            <w:r w:rsidR="002C0420" w:rsidRPr="002C0420">
              <w:rPr>
                <w:bCs/>
                <w:sz w:val="22"/>
                <w:szCs w:val="22"/>
                <w:lang w:val="en-US"/>
              </w:rPr>
              <w:t>Практична</w:t>
            </w:r>
            <w:proofErr w:type="spellEnd"/>
            <w:r w:rsidR="002C0420" w:rsidRPr="002C0420">
              <w:rPr>
                <w:bCs/>
                <w:sz w:val="22"/>
                <w:szCs w:val="22"/>
                <w:lang w:val="en-US"/>
              </w:rPr>
              <w:t xml:space="preserve"> </w:t>
            </w:r>
            <w:proofErr w:type="spellStart"/>
            <w:r w:rsidR="002C0420" w:rsidRPr="002C0420">
              <w:rPr>
                <w:bCs/>
                <w:sz w:val="22"/>
                <w:szCs w:val="22"/>
                <w:lang w:val="en-US"/>
              </w:rPr>
              <w:t>настава</w:t>
            </w:r>
            <w:proofErr w:type="spellEnd"/>
            <w:r w:rsidR="002C0420" w:rsidRPr="002C0420">
              <w:rPr>
                <w:bCs/>
                <w:sz w:val="22"/>
                <w:szCs w:val="22"/>
                <w:lang w:val="en-US"/>
              </w:rPr>
              <w:t xml:space="preserve"> у </w:t>
            </w:r>
            <w:proofErr w:type="spellStart"/>
            <w:r w:rsidR="002C0420" w:rsidRPr="002C0420">
              <w:rPr>
                <w:bCs/>
                <w:sz w:val="22"/>
                <w:szCs w:val="22"/>
                <w:lang w:val="en-US"/>
              </w:rPr>
              <w:t>потпуности</w:t>
            </w:r>
            <w:proofErr w:type="spellEnd"/>
            <w:r w:rsidR="002C0420" w:rsidRPr="002C0420">
              <w:rPr>
                <w:bCs/>
                <w:sz w:val="22"/>
                <w:szCs w:val="22"/>
                <w:lang w:val="en-US"/>
              </w:rPr>
              <w:t xml:space="preserve"> </w:t>
            </w:r>
            <w:proofErr w:type="spellStart"/>
            <w:r w:rsidR="002C0420" w:rsidRPr="002C0420">
              <w:rPr>
                <w:bCs/>
                <w:sz w:val="22"/>
                <w:szCs w:val="22"/>
                <w:lang w:val="en-US"/>
              </w:rPr>
              <w:t>прати</w:t>
            </w:r>
            <w:proofErr w:type="spellEnd"/>
            <w:r w:rsidR="002C0420" w:rsidRPr="002C0420">
              <w:rPr>
                <w:bCs/>
                <w:sz w:val="22"/>
                <w:szCs w:val="22"/>
                <w:lang w:val="en-US"/>
              </w:rPr>
              <w:t xml:space="preserve"> </w:t>
            </w:r>
            <w:proofErr w:type="spellStart"/>
            <w:r w:rsidR="002C0420" w:rsidRPr="002C0420">
              <w:rPr>
                <w:bCs/>
                <w:sz w:val="22"/>
                <w:szCs w:val="22"/>
                <w:lang w:val="en-US"/>
              </w:rPr>
              <w:t>теоријску</w:t>
            </w:r>
            <w:proofErr w:type="spellEnd"/>
            <w:r w:rsidR="002C0420" w:rsidRPr="002C0420">
              <w:rPr>
                <w:bCs/>
                <w:sz w:val="22"/>
                <w:szCs w:val="22"/>
                <w:lang w:val="en-US"/>
              </w:rPr>
              <w:t xml:space="preserve"> </w:t>
            </w:r>
            <w:proofErr w:type="spellStart"/>
            <w:r w:rsidR="002C0420" w:rsidRPr="002C0420">
              <w:rPr>
                <w:bCs/>
                <w:sz w:val="22"/>
                <w:szCs w:val="22"/>
                <w:lang w:val="en-US"/>
              </w:rPr>
              <w:t>наставу</w:t>
            </w:r>
            <w:proofErr w:type="spellEnd"/>
            <w:r w:rsidR="002C0420" w:rsidRPr="002C0420">
              <w:rPr>
                <w:bCs/>
                <w:sz w:val="22"/>
                <w:szCs w:val="22"/>
                <w:lang w:val="en-US"/>
              </w:rPr>
              <w:t xml:space="preserve"> и </w:t>
            </w:r>
            <w:proofErr w:type="spellStart"/>
            <w:r w:rsidR="002C0420" w:rsidRPr="002C0420">
              <w:rPr>
                <w:bCs/>
                <w:sz w:val="22"/>
                <w:szCs w:val="22"/>
                <w:lang w:val="en-US"/>
              </w:rPr>
              <w:t>изводи</w:t>
            </w:r>
            <w:proofErr w:type="spellEnd"/>
            <w:r w:rsidR="002C0420" w:rsidRPr="002C0420">
              <w:rPr>
                <w:bCs/>
                <w:sz w:val="22"/>
                <w:szCs w:val="22"/>
                <w:lang w:val="en-US"/>
              </w:rPr>
              <w:t xml:space="preserve"> </w:t>
            </w:r>
            <w:proofErr w:type="spellStart"/>
            <w:r w:rsidR="002C0420" w:rsidRPr="002C0420">
              <w:rPr>
                <w:bCs/>
                <w:sz w:val="22"/>
                <w:szCs w:val="22"/>
                <w:lang w:val="en-US"/>
              </w:rPr>
              <w:t>се</w:t>
            </w:r>
            <w:proofErr w:type="spellEnd"/>
            <w:r w:rsidR="002C0420" w:rsidRPr="002C0420">
              <w:rPr>
                <w:bCs/>
                <w:sz w:val="22"/>
                <w:szCs w:val="22"/>
                <w:lang w:val="en-US"/>
              </w:rPr>
              <w:t xml:space="preserve"> </w:t>
            </w:r>
            <w:proofErr w:type="spellStart"/>
            <w:r w:rsidR="002C0420" w:rsidRPr="002C0420">
              <w:rPr>
                <w:bCs/>
                <w:sz w:val="22"/>
                <w:szCs w:val="22"/>
                <w:lang w:val="en-US"/>
              </w:rPr>
              <w:t>кроз</w:t>
            </w:r>
            <w:proofErr w:type="spellEnd"/>
            <w:r w:rsidR="002C0420" w:rsidRPr="002C0420">
              <w:rPr>
                <w:bCs/>
                <w:sz w:val="22"/>
                <w:szCs w:val="22"/>
                <w:lang w:val="en-US"/>
              </w:rPr>
              <w:t xml:space="preserve"> </w:t>
            </w:r>
            <w:proofErr w:type="spellStart"/>
            <w:r w:rsidR="002C0420" w:rsidRPr="002C0420">
              <w:rPr>
                <w:bCs/>
                <w:sz w:val="22"/>
                <w:szCs w:val="22"/>
                <w:lang w:val="en-US"/>
              </w:rPr>
              <w:t>извођење</w:t>
            </w:r>
            <w:proofErr w:type="spellEnd"/>
            <w:r w:rsidR="002C0420" w:rsidRPr="002C0420">
              <w:rPr>
                <w:bCs/>
                <w:sz w:val="22"/>
                <w:szCs w:val="22"/>
                <w:lang w:val="en-US"/>
              </w:rPr>
              <w:t xml:space="preserve"> </w:t>
            </w:r>
            <w:proofErr w:type="spellStart"/>
            <w:r w:rsidR="002C0420" w:rsidRPr="002C0420">
              <w:rPr>
                <w:bCs/>
                <w:sz w:val="22"/>
                <w:szCs w:val="22"/>
                <w:lang w:val="en-US"/>
              </w:rPr>
              <w:t>практичних</w:t>
            </w:r>
            <w:proofErr w:type="spellEnd"/>
            <w:r w:rsidR="002C0420" w:rsidRPr="002C0420">
              <w:rPr>
                <w:bCs/>
                <w:sz w:val="22"/>
                <w:szCs w:val="22"/>
                <w:lang w:val="en-US"/>
              </w:rPr>
              <w:t xml:space="preserve"> </w:t>
            </w:r>
            <w:proofErr w:type="spellStart"/>
            <w:r w:rsidR="002C0420" w:rsidRPr="002C0420">
              <w:rPr>
                <w:bCs/>
                <w:sz w:val="22"/>
                <w:szCs w:val="22"/>
                <w:lang w:val="en-US"/>
              </w:rPr>
              <w:t>вежби</w:t>
            </w:r>
            <w:proofErr w:type="spellEnd"/>
            <w:r w:rsidR="002C0420" w:rsidRPr="002C0420">
              <w:rPr>
                <w:bCs/>
                <w:sz w:val="22"/>
                <w:szCs w:val="22"/>
                <w:lang w:val="en-US"/>
              </w:rPr>
              <w:t xml:space="preserve"> и </w:t>
            </w:r>
            <w:proofErr w:type="spellStart"/>
            <w:r w:rsidR="002C0420" w:rsidRPr="002C0420">
              <w:rPr>
                <w:bCs/>
                <w:sz w:val="22"/>
                <w:szCs w:val="22"/>
                <w:lang w:val="en-US"/>
              </w:rPr>
              <w:t>решавање</w:t>
            </w:r>
            <w:proofErr w:type="spellEnd"/>
            <w:r w:rsidR="002C0420" w:rsidRPr="002C0420">
              <w:rPr>
                <w:bCs/>
                <w:sz w:val="22"/>
                <w:szCs w:val="22"/>
                <w:lang w:val="en-US"/>
              </w:rPr>
              <w:t xml:space="preserve"> </w:t>
            </w:r>
            <w:proofErr w:type="spellStart"/>
            <w:r w:rsidR="002C0420" w:rsidRPr="002C0420">
              <w:rPr>
                <w:bCs/>
                <w:sz w:val="22"/>
                <w:szCs w:val="22"/>
                <w:lang w:val="en-US"/>
              </w:rPr>
              <w:t>практичних</w:t>
            </w:r>
            <w:proofErr w:type="spellEnd"/>
            <w:r w:rsidR="002C0420" w:rsidRPr="002C0420">
              <w:rPr>
                <w:bCs/>
                <w:sz w:val="22"/>
                <w:szCs w:val="22"/>
                <w:lang w:val="en-US"/>
              </w:rPr>
              <w:t xml:space="preserve"> </w:t>
            </w:r>
            <w:proofErr w:type="spellStart"/>
            <w:r w:rsidR="002C0420" w:rsidRPr="002C0420">
              <w:rPr>
                <w:bCs/>
                <w:sz w:val="22"/>
                <w:szCs w:val="22"/>
                <w:lang w:val="en-US"/>
              </w:rPr>
              <w:t>задатака</w:t>
            </w:r>
            <w:proofErr w:type="spellEnd"/>
            <w:r w:rsidR="002C0420" w:rsidRPr="002C0420">
              <w:rPr>
                <w:bCs/>
                <w:sz w:val="22"/>
                <w:szCs w:val="22"/>
                <w:lang w:val="en-US"/>
              </w:rPr>
              <w:t xml:space="preserve"> у </w:t>
            </w:r>
            <w:proofErr w:type="spellStart"/>
            <w:r w:rsidR="002C0420" w:rsidRPr="002C0420">
              <w:rPr>
                <w:bCs/>
                <w:sz w:val="22"/>
                <w:szCs w:val="22"/>
                <w:lang w:val="en-US"/>
              </w:rPr>
              <w:t>вежбаоници</w:t>
            </w:r>
            <w:proofErr w:type="spellEnd"/>
            <w:r w:rsidR="002C0420" w:rsidRPr="002C0420">
              <w:rPr>
                <w:bCs/>
                <w:sz w:val="22"/>
                <w:szCs w:val="22"/>
                <w:lang w:val="en-US"/>
              </w:rPr>
              <w:t xml:space="preserve">,  </w:t>
            </w:r>
            <w:proofErr w:type="spellStart"/>
            <w:r w:rsidR="002C0420" w:rsidRPr="002C0420">
              <w:rPr>
                <w:bCs/>
                <w:sz w:val="22"/>
                <w:szCs w:val="22"/>
                <w:lang w:val="en-US"/>
              </w:rPr>
              <w:t>Лабораторији</w:t>
            </w:r>
            <w:proofErr w:type="spellEnd"/>
            <w:r w:rsidR="002C0420" w:rsidRPr="002C0420">
              <w:rPr>
                <w:bCs/>
                <w:sz w:val="22"/>
                <w:szCs w:val="22"/>
                <w:lang w:val="en-US"/>
              </w:rPr>
              <w:t xml:space="preserve"> </w:t>
            </w:r>
            <w:proofErr w:type="spellStart"/>
            <w:r w:rsidR="002C0420" w:rsidRPr="002C0420">
              <w:rPr>
                <w:bCs/>
                <w:sz w:val="22"/>
                <w:szCs w:val="22"/>
                <w:lang w:val="en-US"/>
              </w:rPr>
              <w:t>за</w:t>
            </w:r>
            <w:proofErr w:type="spellEnd"/>
            <w:r w:rsidR="002C0420" w:rsidRPr="002C0420">
              <w:rPr>
                <w:bCs/>
                <w:sz w:val="22"/>
                <w:szCs w:val="22"/>
                <w:lang w:val="en-US"/>
              </w:rPr>
              <w:t xml:space="preserve"> </w:t>
            </w:r>
            <w:proofErr w:type="spellStart"/>
            <w:r w:rsidR="002C0420" w:rsidRPr="002C0420">
              <w:rPr>
                <w:bCs/>
                <w:sz w:val="22"/>
                <w:szCs w:val="22"/>
                <w:lang w:val="en-US"/>
              </w:rPr>
              <w:t>испитивање</w:t>
            </w:r>
            <w:proofErr w:type="spellEnd"/>
            <w:r w:rsidR="002C0420" w:rsidRPr="002C0420">
              <w:rPr>
                <w:bCs/>
                <w:sz w:val="22"/>
                <w:szCs w:val="22"/>
                <w:lang w:val="en-US"/>
              </w:rPr>
              <w:t xml:space="preserve"> </w:t>
            </w:r>
            <w:proofErr w:type="spellStart"/>
            <w:r w:rsidR="002C0420" w:rsidRPr="002C0420">
              <w:rPr>
                <w:bCs/>
                <w:sz w:val="22"/>
                <w:szCs w:val="22"/>
                <w:lang w:val="en-US"/>
              </w:rPr>
              <w:t>семена</w:t>
            </w:r>
            <w:proofErr w:type="spellEnd"/>
            <w:r w:rsidR="002C0420" w:rsidRPr="002C0420">
              <w:rPr>
                <w:bCs/>
                <w:sz w:val="22"/>
                <w:szCs w:val="22"/>
                <w:lang w:val="en-US"/>
              </w:rPr>
              <w:t xml:space="preserve"> и </w:t>
            </w:r>
            <w:proofErr w:type="spellStart"/>
            <w:r w:rsidR="002C0420" w:rsidRPr="002C0420">
              <w:rPr>
                <w:bCs/>
                <w:sz w:val="22"/>
                <w:szCs w:val="22"/>
                <w:lang w:val="en-US"/>
              </w:rPr>
              <w:t>садница</w:t>
            </w:r>
            <w:proofErr w:type="spellEnd"/>
            <w:r w:rsidR="002C0420" w:rsidRPr="002C0420">
              <w:rPr>
                <w:bCs/>
                <w:sz w:val="22"/>
                <w:szCs w:val="22"/>
                <w:lang w:val="en-US"/>
              </w:rPr>
              <w:t xml:space="preserve"> и </w:t>
            </w:r>
            <w:proofErr w:type="spellStart"/>
            <w:r w:rsidR="002C0420" w:rsidRPr="002C0420">
              <w:rPr>
                <w:bCs/>
                <w:sz w:val="22"/>
                <w:szCs w:val="22"/>
                <w:lang w:val="en-US"/>
              </w:rPr>
              <w:t>на</w:t>
            </w:r>
            <w:proofErr w:type="spellEnd"/>
            <w:r w:rsidR="002C0420" w:rsidRPr="002C0420">
              <w:rPr>
                <w:bCs/>
                <w:sz w:val="22"/>
                <w:szCs w:val="22"/>
                <w:lang w:val="en-US"/>
              </w:rPr>
              <w:t xml:space="preserve"> </w:t>
            </w:r>
            <w:proofErr w:type="spellStart"/>
            <w:r w:rsidR="002C0420" w:rsidRPr="002C0420">
              <w:rPr>
                <w:bCs/>
                <w:sz w:val="22"/>
                <w:szCs w:val="22"/>
                <w:lang w:val="en-US"/>
              </w:rPr>
              <w:t>окућници</w:t>
            </w:r>
            <w:proofErr w:type="spellEnd"/>
            <w:r w:rsidR="002C0420" w:rsidRPr="002C0420">
              <w:rPr>
                <w:bCs/>
                <w:sz w:val="22"/>
                <w:szCs w:val="22"/>
                <w:lang w:val="en-US"/>
              </w:rPr>
              <w:t xml:space="preserve"> </w:t>
            </w:r>
            <w:proofErr w:type="spellStart"/>
            <w:r w:rsidR="002C0420" w:rsidRPr="002C0420">
              <w:rPr>
                <w:bCs/>
                <w:sz w:val="22"/>
                <w:szCs w:val="22"/>
                <w:lang w:val="en-US"/>
              </w:rPr>
              <w:t>Шумарског</w:t>
            </w:r>
            <w:proofErr w:type="spellEnd"/>
            <w:r w:rsidR="002C0420" w:rsidRPr="002C0420">
              <w:rPr>
                <w:bCs/>
                <w:sz w:val="22"/>
                <w:szCs w:val="22"/>
                <w:lang w:val="en-US"/>
              </w:rPr>
              <w:t xml:space="preserve"> </w:t>
            </w:r>
            <w:proofErr w:type="spellStart"/>
            <w:r w:rsidR="002C0420" w:rsidRPr="002C0420">
              <w:rPr>
                <w:bCs/>
                <w:sz w:val="22"/>
                <w:szCs w:val="22"/>
                <w:lang w:val="en-US"/>
              </w:rPr>
              <w:t>факултета</w:t>
            </w:r>
            <w:proofErr w:type="spellEnd"/>
            <w:r w:rsidR="002C0420" w:rsidRPr="002C0420">
              <w:rPr>
                <w:bCs/>
                <w:sz w:val="22"/>
                <w:szCs w:val="22"/>
                <w:lang w:val="en-US"/>
              </w:rPr>
              <w:t>.</w:t>
            </w:r>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jc w:val="both"/>
              <w:rPr>
                <w:bCs/>
                <w:sz w:val="22"/>
                <w:szCs w:val="22"/>
                <w:lang w:val="en-US"/>
              </w:rPr>
            </w:pPr>
            <w:r>
              <w:rPr>
                <w:bCs/>
                <w:sz w:val="22"/>
                <w:szCs w:val="22"/>
                <w:lang w:val="sr-Cyrl-CS"/>
              </w:rPr>
              <w:t xml:space="preserve">Литература: </w:t>
            </w:r>
          </w:p>
          <w:p w:rsidR="002C0420" w:rsidRPr="0073720A" w:rsidRDefault="002C0420" w:rsidP="0073720A">
            <w:pPr>
              <w:pStyle w:val="ListParagraph"/>
              <w:numPr>
                <w:ilvl w:val="0"/>
                <w:numId w:val="1"/>
              </w:numPr>
              <w:ind w:left="284" w:hanging="218"/>
              <w:jc w:val="both"/>
              <w:rPr>
                <w:sz w:val="22"/>
                <w:szCs w:val="22"/>
              </w:rPr>
            </w:pPr>
            <w:proofErr w:type="spellStart"/>
            <w:r w:rsidRPr="0073720A">
              <w:rPr>
                <w:sz w:val="22"/>
                <w:szCs w:val="22"/>
                <w:lang w:val="en-US"/>
              </w:rPr>
              <w:t>Иветић</w:t>
            </w:r>
            <w:proofErr w:type="spellEnd"/>
            <w:r w:rsidRPr="0073720A">
              <w:rPr>
                <w:sz w:val="22"/>
                <w:szCs w:val="22"/>
                <w:lang w:val="en-US"/>
              </w:rPr>
              <w:t xml:space="preserve"> В. (2013): </w:t>
            </w:r>
            <w:proofErr w:type="spellStart"/>
            <w:r w:rsidRPr="0073720A">
              <w:rPr>
                <w:sz w:val="22"/>
                <w:szCs w:val="22"/>
                <w:lang w:val="en-US"/>
              </w:rPr>
              <w:t>Практикум</w:t>
            </w:r>
            <w:proofErr w:type="spellEnd"/>
            <w:r w:rsidRPr="0073720A">
              <w:rPr>
                <w:sz w:val="22"/>
                <w:szCs w:val="22"/>
                <w:lang w:val="en-US"/>
              </w:rPr>
              <w:t xml:space="preserve"> </w:t>
            </w:r>
            <w:proofErr w:type="spellStart"/>
            <w:r w:rsidRPr="0073720A">
              <w:rPr>
                <w:sz w:val="22"/>
                <w:szCs w:val="22"/>
                <w:lang w:val="en-US"/>
              </w:rPr>
              <w:t>из</w:t>
            </w:r>
            <w:proofErr w:type="spellEnd"/>
            <w:r w:rsidRPr="0073720A">
              <w:rPr>
                <w:sz w:val="22"/>
                <w:szCs w:val="22"/>
                <w:lang w:val="en-US"/>
              </w:rPr>
              <w:t xml:space="preserve"> </w:t>
            </w:r>
            <w:proofErr w:type="spellStart"/>
            <w:r w:rsidRPr="0073720A">
              <w:rPr>
                <w:sz w:val="22"/>
                <w:szCs w:val="22"/>
                <w:lang w:val="en-US"/>
              </w:rPr>
              <w:t>Семенарства</w:t>
            </w:r>
            <w:proofErr w:type="spellEnd"/>
            <w:r w:rsidRPr="0073720A">
              <w:rPr>
                <w:sz w:val="22"/>
                <w:szCs w:val="22"/>
                <w:lang w:val="en-US"/>
              </w:rPr>
              <w:t xml:space="preserve">, </w:t>
            </w:r>
            <w:proofErr w:type="spellStart"/>
            <w:r w:rsidRPr="0073720A">
              <w:rPr>
                <w:sz w:val="22"/>
                <w:szCs w:val="22"/>
                <w:lang w:val="en-US"/>
              </w:rPr>
              <w:t>расадничарства</w:t>
            </w:r>
            <w:proofErr w:type="spellEnd"/>
            <w:r w:rsidRPr="0073720A">
              <w:rPr>
                <w:sz w:val="22"/>
                <w:szCs w:val="22"/>
                <w:lang w:val="en-US"/>
              </w:rPr>
              <w:t xml:space="preserve"> и </w:t>
            </w:r>
            <w:proofErr w:type="spellStart"/>
            <w:r w:rsidRPr="0073720A">
              <w:rPr>
                <w:sz w:val="22"/>
                <w:szCs w:val="22"/>
                <w:lang w:val="en-US"/>
              </w:rPr>
              <w:t>пошумљавања</w:t>
            </w:r>
            <w:proofErr w:type="spellEnd"/>
            <w:r w:rsidRPr="0073720A">
              <w:rPr>
                <w:sz w:val="22"/>
                <w:szCs w:val="22"/>
                <w:lang w:val="en-US"/>
              </w:rPr>
              <w:t xml:space="preserve">. </w:t>
            </w:r>
            <w:proofErr w:type="spellStart"/>
            <w:r w:rsidRPr="0073720A">
              <w:rPr>
                <w:sz w:val="22"/>
                <w:szCs w:val="22"/>
                <w:lang w:val="en-US"/>
              </w:rPr>
              <w:t>Шумарски</w:t>
            </w:r>
            <w:proofErr w:type="spellEnd"/>
            <w:r w:rsidRPr="0073720A">
              <w:rPr>
                <w:sz w:val="22"/>
                <w:szCs w:val="22"/>
                <w:lang w:val="en-US"/>
              </w:rPr>
              <w:t xml:space="preserve"> </w:t>
            </w:r>
            <w:proofErr w:type="spellStart"/>
            <w:r w:rsidRPr="0073720A">
              <w:rPr>
                <w:sz w:val="22"/>
                <w:szCs w:val="22"/>
                <w:lang w:val="en-US"/>
              </w:rPr>
              <w:t>факултет</w:t>
            </w:r>
            <w:proofErr w:type="spellEnd"/>
            <w:r w:rsidRPr="0073720A">
              <w:rPr>
                <w:sz w:val="22"/>
                <w:szCs w:val="22"/>
                <w:lang w:val="en-US"/>
              </w:rPr>
              <w:t xml:space="preserve">, </w:t>
            </w:r>
            <w:proofErr w:type="spellStart"/>
            <w:r w:rsidRPr="0073720A">
              <w:rPr>
                <w:sz w:val="22"/>
                <w:szCs w:val="22"/>
                <w:lang w:val="en-US"/>
              </w:rPr>
              <w:t>Београд</w:t>
            </w:r>
            <w:proofErr w:type="spellEnd"/>
            <w:r w:rsidRPr="0073720A">
              <w:rPr>
                <w:sz w:val="22"/>
                <w:szCs w:val="22"/>
                <w:lang w:val="en-US"/>
              </w:rPr>
              <w:t xml:space="preserve">. 213 </w:t>
            </w:r>
            <w:r w:rsidRPr="0073720A">
              <w:rPr>
                <w:sz w:val="22"/>
                <w:szCs w:val="22"/>
              </w:rPr>
              <w:t>страна</w:t>
            </w:r>
          </w:p>
          <w:p w:rsidR="002C0420" w:rsidRPr="0073720A" w:rsidRDefault="002C0420" w:rsidP="0073720A">
            <w:pPr>
              <w:pStyle w:val="ListParagraph"/>
              <w:numPr>
                <w:ilvl w:val="0"/>
                <w:numId w:val="1"/>
              </w:numPr>
              <w:ind w:left="284" w:hanging="218"/>
              <w:jc w:val="both"/>
              <w:rPr>
                <w:sz w:val="22"/>
                <w:szCs w:val="22"/>
              </w:rPr>
            </w:pPr>
            <w:r w:rsidRPr="0073720A">
              <w:rPr>
                <w:sz w:val="22"/>
                <w:szCs w:val="22"/>
              </w:rPr>
              <w:t>Исајев В., Манчић А. (2001): Шумско семенарство. Бања Лука –Београд. Стр. 1-198.</w:t>
            </w:r>
          </w:p>
          <w:p w:rsidR="002C0420" w:rsidRPr="0073720A" w:rsidRDefault="002C0420" w:rsidP="0073720A">
            <w:pPr>
              <w:pStyle w:val="ListParagraph"/>
              <w:numPr>
                <w:ilvl w:val="0"/>
                <w:numId w:val="1"/>
              </w:numPr>
              <w:ind w:left="284" w:hanging="218"/>
              <w:jc w:val="both"/>
              <w:rPr>
                <w:sz w:val="22"/>
                <w:szCs w:val="22"/>
              </w:rPr>
            </w:pPr>
            <w:r w:rsidRPr="0073720A">
              <w:rPr>
                <w:sz w:val="22"/>
                <w:szCs w:val="22"/>
              </w:rPr>
              <w:t>Ђоровић М., Исајев В., Кадовић Р. (2003): Системи антиерозионог пошумљавања и затрављивања. Шумарски факултет. Бања Лука. 1-402</w:t>
            </w:r>
          </w:p>
          <w:p w:rsidR="002C0420" w:rsidRPr="0073720A" w:rsidRDefault="002C0420" w:rsidP="0073720A">
            <w:pPr>
              <w:pStyle w:val="ListParagraph"/>
              <w:numPr>
                <w:ilvl w:val="0"/>
                <w:numId w:val="1"/>
              </w:numPr>
              <w:ind w:left="284" w:hanging="218"/>
              <w:jc w:val="both"/>
              <w:rPr>
                <w:sz w:val="22"/>
                <w:szCs w:val="22"/>
              </w:rPr>
            </w:pPr>
            <w:r w:rsidRPr="0073720A">
              <w:rPr>
                <w:sz w:val="22"/>
                <w:szCs w:val="22"/>
              </w:rPr>
              <w:t>Стилиновић С. (1991): Пошумљавање. Научна књига, Београд.</w:t>
            </w:r>
          </w:p>
        </w:tc>
      </w:tr>
      <w:tr w:rsidR="007C04C2">
        <w:trPr>
          <w:cantSplit/>
        </w:trPr>
        <w:tc>
          <w:tcPr>
            <w:tcW w:w="8015" w:type="dxa"/>
            <w:gridSpan w:val="6"/>
            <w:tcBorders>
              <w:top w:val="single" w:sz="4" w:space="0" w:color="auto"/>
              <w:left w:val="single" w:sz="4" w:space="0" w:color="auto"/>
              <w:bottom w:val="single" w:sz="4" w:space="0" w:color="auto"/>
              <w:right w:val="single" w:sz="4" w:space="0" w:color="auto"/>
            </w:tcBorders>
          </w:tcPr>
          <w:p w:rsidR="007C04C2" w:rsidRDefault="007C04C2" w:rsidP="00595EA3">
            <w:pPr>
              <w:rPr>
                <w:bCs/>
                <w:lang w:val="en-US"/>
              </w:rPr>
            </w:pPr>
            <w:r>
              <w:rPr>
                <w:bCs/>
                <w:lang w:val="sr-Cyrl-CS"/>
              </w:rPr>
              <w:t>Број часова</w:t>
            </w:r>
            <w:r>
              <w:rPr>
                <w:lang w:val="sr-Cyrl-CS"/>
              </w:rPr>
              <w:t xml:space="preserve"> активне наставе</w:t>
            </w:r>
          </w:p>
        </w:tc>
        <w:tc>
          <w:tcPr>
            <w:tcW w:w="1555" w:type="dxa"/>
            <w:gridSpan w:val="2"/>
            <w:vMerge w:val="restart"/>
            <w:tcBorders>
              <w:top w:val="single" w:sz="4" w:space="0" w:color="auto"/>
              <w:left w:val="single" w:sz="4" w:space="0" w:color="auto"/>
              <w:bottom w:val="single" w:sz="4" w:space="0" w:color="auto"/>
              <w:right w:val="single" w:sz="4" w:space="0" w:color="auto"/>
            </w:tcBorders>
          </w:tcPr>
          <w:p w:rsidR="007C04C2" w:rsidRDefault="007C04C2" w:rsidP="00595EA3">
            <w:pPr>
              <w:rPr>
                <w:lang w:val="sr-Cyrl-CS"/>
              </w:rPr>
            </w:pPr>
            <w:proofErr w:type="spellStart"/>
            <w:r>
              <w:rPr>
                <w:lang w:val="en-US"/>
              </w:rPr>
              <w:t>Остали</w:t>
            </w:r>
            <w:proofErr w:type="spellEnd"/>
            <w:r>
              <w:rPr>
                <w:lang w:val="en-US"/>
              </w:rPr>
              <w:t xml:space="preserve"> </w:t>
            </w:r>
            <w:proofErr w:type="spellStart"/>
            <w:r>
              <w:rPr>
                <w:lang w:val="en-US"/>
              </w:rPr>
              <w:t>часови</w:t>
            </w:r>
            <w:proofErr w:type="spellEnd"/>
          </w:p>
          <w:p w:rsidR="007C04C2" w:rsidRPr="002C0420" w:rsidRDefault="00E442ED" w:rsidP="00595EA3">
            <w:r>
              <w:t>5</w:t>
            </w:r>
          </w:p>
        </w:tc>
      </w:tr>
      <w:tr w:rsidR="007C04C2">
        <w:trPr>
          <w:cantSplit/>
        </w:trPr>
        <w:tc>
          <w:tcPr>
            <w:tcW w:w="1541" w:type="dxa"/>
            <w:tcBorders>
              <w:top w:val="single" w:sz="4" w:space="0" w:color="auto"/>
              <w:left w:val="single" w:sz="4" w:space="0" w:color="auto"/>
              <w:bottom w:val="single" w:sz="4" w:space="0" w:color="auto"/>
              <w:right w:val="single" w:sz="4" w:space="0" w:color="auto"/>
            </w:tcBorders>
          </w:tcPr>
          <w:p w:rsidR="007C04C2" w:rsidRPr="00A857A2" w:rsidRDefault="007C04C2" w:rsidP="00595EA3">
            <w:pPr>
              <w:rPr>
                <w:bCs/>
                <w:lang w:val="en-US"/>
              </w:rPr>
            </w:pPr>
            <w:proofErr w:type="spellStart"/>
            <w:r w:rsidRPr="00A857A2">
              <w:rPr>
                <w:bCs/>
                <w:lang w:val="en-US"/>
              </w:rPr>
              <w:t>Предавања</w:t>
            </w:r>
            <w:proofErr w:type="spellEnd"/>
            <w:r w:rsidRPr="00A857A2">
              <w:rPr>
                <w:bCs/>
                <w:lang w:val="en-US"/>
              </w:rPr>
              <w:t>:</w:t>
            </w:r>
          </w:p>
          <w:p w:rsidR="007C04C2" w:rsidRPr="00A857A2" w:rsidRDefault="002C0420" w:rsidP="00595EA3">
            <w:pPr>
              <w:rPr>
                <w:bCs/>
                <w:lang w:val="sr-Cyrl-CS"/>
              </w:rPr>
            </w:pPr>
            <w:r w:rsidRPr="00A857A2">
              <w:rPr>
                <w:bCs/>
                <w:lang w:val="sr-Cyrl-CS"/>
              </w:rPr>
              <w:t>4</w:t>
            </w:r>
          </w:p>
        </w:tc>
        <w:tc>
          <w:tcPr>
            <w:tcW w:w="1045" w:type="dxa"/>
            <w:tcBorders>
              <w:top w:val="single" w:sz="4" w:space="0" w:color="auto"/>
              <w:left w:val="single" w:sz="4" w:space="0" w:color="auto"/>
              <w:bottom w:val="single" w:sz="4" w:space="0" w:color="auto"/>
              <w:right w:val="single" w:sz="4" w:space="0" w:color="auto"/>
            </w:tcBorders>
          </w:tcPr>
          <w:p w:rsidR="007C04C2" w:rsidRPr="00A857A2" w:rsidRDefault="007C04C2" w:rsidP="00595EA3">
            <w:pPr>
              <w:rPr>
                <w:bCs/>
                <w:lang w:val="en-US"/>
              </w:rPr>
            </w:pPr>
            <w:proofErr w:type="spellStart"/>
            <w:r w:rsidRPr="00A857A2">
              <w:rPr>
                <w:bCs/>
                <w:lang w:val="en-US"/>
              </w:rPr>
              <w:t>Вежбе</w:t>
            </w:r>
            <w:proofErr w:type="spellEnd"/>
            <w:r w:rsidRPr="00A857A2">
              <w:rPr>
                <w:bCs/>
                <w:lang w:val="en-US"/>
              </w:rPr>
              <w:t xml:space="preserve">: </w:t>
            </w:r>
          </w:p>
        </w:tc>
        <w:tc>
          <w:tcPr>
            <w:tcW w:w="2556" w:type="dxa"/>
            <w:gridSpan w:val="2"/>
            <w:tcBorders>
              <w:top w:val="single" w:sz="4" w:space="0" w:color="auto"/>
              <w:left w:val="single" w:sz="4" w:space="0" w:color="auto"/>
              <w:bottom w:val="single" w:sz="4" w:space="0" w:color="auto"/>
              <w:right w:val="single" w:sz="4" w:space="0" w:color="auto"/>
            </w:tcBorders>
          </w:tcPr>
          <w:p w:rsidR="007C04C2" w:rsidRPr="00A857A2" w:rsidRDefault="007C04C2" w:rsidP="00595EA3">
            <w:pPr>
              <w:rPr>
                <w:bCs/>
                <w:lang w:val="sr-Cyrl-CS"/>
              </w:rPr>
            </w:pPr>
            <w:proofErr w:type="spellStart"/>
            <w:r w:rsidRPr="00A857A2">
              <w:rPr>
                <w:bCs/>
                <w:lang w:val="en-US"/>
              </w:rPr>
              <w:t>Други</w:t>
            </w:r>
            <w:proofErr w:type="spellEnd"/>
            <w:r w:rsidRPr="00A857A2">
              <w:rPr>
                <w:bCs/>
                <w:lang w:val="en-US"/>
              </w:rPr>
              <w:t xml:space="preserve"> </w:t>
            </w:r>
            <w:proofErr w:type="spellStart"/>
            <w:r w:rsidRPr="00A857A2">
              <w:rPr>
                <w:bCs/>
                <w:lang w:val="en-US"/>
              </w:rPr>
              <w:t>облици</w:t>
            </w:r>
            <w:proofErr w:type="spellEnd"/>
            <w:r w:rsidRPr="00A857A2">
              <w:rPr>
                <w:bCs/>
                <w:lang w:val="en-US"/>
              </w:rPr>
              <w:t xml:space="preserve"> </w:t>
            </w:r>
            <w:proofErr w:type="spellStart"/>
            <w:r w:rsidRPr="00A857A2">
              <w:rPr>
                <w:bCs/>
                <w:lang w:val="en-US"/>
              </w:rPr>
              <w:t>наставе</w:t>
            </w:r>
            <w:proofErr w:type="spellEnd"/>
            <w:r w:rsidRPr="00A857A2">
              <w:rPr>
                <w:bCs/>
                <w:lang w:val="en-US"/>
              </w:rPr>
              <w:t>:</w:t>
            </w:r>
          </w:p>
          <w:p w:rsidR="007C04C2" w:rsidRPr="00A857A2" w:rsidRDefault="002C0420" w:rsidP="00595EA3">
            <w:pPr>
              <w:rPr>
                <w:bCs/>
                <w:lang w:val="sr-Cyrl-CS"/>
              </w:rPr>
            </w:pPr>
            <w:r w:rsidRPr="00A857A2">
              <w:rPr>
                <w:bCs/>
                <w:lang w:val="sr-Cyrl-CS"/>
              </w:rPr>
              <w:t>4</w:t>
            </w:r>
          </w:p>
        </w:tc>
        <w:tc>
          <w:tcPr>
            <w:tcW w:w="2873" w:type="dxa"/>
            <w:gridSpan w:val="2"/>
            <w:tcBorders>
              <w:top w:val="single" w:sz="4" w:space="0" w:color="auto"/>
              <w:left w:val="single" w:sz="4" w:space="0" w:color="auto"/>
              <w:bottom w:val="single" w:sz="4" w:space="0" w:color="auto"/>
              <w:right w:val="single" w:sz="4" w:space="0" w:color="auto"/>
            </w:tcBorders>
          </w:tcPr>
          <w:p w:rsidR="007C04C2" w:rsidRDefault="007C04C2" w:rsidP="00595EA3">
            <w:pPr>
              <w:rPr>
                <w:bCs/>
                <w:color w:val="FF0000"/>
                <w:lang w:val="sr-Cyrl-CS"/>
              </w:rPr>
            </w:pPr>
            <w:proofErr w:type="spellStart"/>
            <w:r>
              <w:rPr>
                <w:bCs/>
                <w:lang w:val="en-US"/>
              </w:rPr>
              <w:t>Студијски</w:t>
            </w:r>
            <w:proofErr w:type="spellEnd"/>
            <w:r>
              <w:rPr>
                <w:bCs/>
                <w:lang w:val="en-US"/>
              </w:rPr>
              <w:t xml:space="preserve"> </w:t>
            </w:r>
            <w:proofErr w:type="spellStart"/>
            <w:r>
              <w:rPr>
                <w:bCs/>
                <w:lang w:val="en-US"/>
              </w:rPr>
              <w:t>истраживачки</w:t>
            </w:r>
            <w:proofErr w:type="spellEnd"/>
            <w:r>
              <w:rPr>
                <w:bCs/>
                <w:lang w:val="en-US"/>
              </w:rPr>
              <w:t xml:space="preserve"> </w:t>
            </w:r>
            <w:proofErr w:type="spellStart"/>
            <w:r>
              <w:rPr>
                <w:bCs/>
                <w:lang w:val="en-US"/>
              </w:rPr>
              <w:t>рад</w:t>
            </w:r>
            <w:proofErr w:type="spellEnd"/>
            <w:r>
              <w:rPr>
                <w:bCs/>
                <w:lang w:val="en-US"/>
              </w:rPr>
              <w:t>:</w:t>
            </w:r>
            <w:r>
              <w:rPr>
                <w:bCs/>
                <w:lang w:val="sr-Cyrl-CS"/>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7C04C2" w:rsidRDefault="007C04C2" w:rsidP="00595EA3">
            <w:pPr>
              <w:widowControl/>
              <w:autoSpaceDE/>
              <w:autoSpaceDN/>
              <w:adjustRightInd/>
              <w:rPr>
                <w:lang w:val="en-US"/>
              </w:rPr>
            </w:pPr>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rPr>
                <w:bCs/>
                <w:sz w:val="22"/>
                <w:szCs w:val="22"/>
                <w:lang w:val="sr-Cyrl-CS"/>
              </w:rPr>
            </w:pPr>
            <w:r>
              <w:rPr>
                <w:bCs/>
                <w:sz w:val="22"/>
                <w:szCs w:val="22"/>
                <w:lang w:val="sr-Cyrl-CS"/>
              </w:rPr>
              <w:t>Методе извођења наставе</w:t>
            </w:r>
          </w:p>
          <w:p w:rsidR="002C0420" w:rsidRPr="002C0420" w:rsidRDefault="002C0420" w:rsidP="002C0420">
            <w:pPr>
              <w:rPr>
                <w:sz w:val="22"/>
                <w:szCs w:val="22"/>
                <w:lang w:val="sr-Cyrl-CS"/>
              </w:rPr>
            </w:pPr>
            <w:r w:rsidRPr="002C0420">
              <w:rPr>
                <w:sz w:val="22"/>
                <w:szCs w:val="22"/>
                <w:lang w:val="sr-Cyrl-CS"/>
              </w:rPr>
              <w:t xml:space="preserve">Настава из поменутог предмета, изводи се на основним студијима у виду изборног предмета са 4 часа предавања и 4 часа вежби недељно у току  шестог семестра. На предавањима ће се користити савремена визуелна и друга наставна средства у циљу стицања теоријске основе. </w:t>
            </w:r>
          </w:p>
          <w:p w:rsidR="007C04C2" w:rsidRDefault="002C0420" w:rsidP="002C0420">
            <w:pPr>
              <w:rPr>
                <w:sz w:val="22"/>
                <w:szCs w:val="22"/>
                <w:lang w:val="sr-Cyrl-CS"/>
              </w:rPr>
            </w:pPr>
            <w:r w:rsidRPr="002C0420">
              <w:rPr>
                <w:sz w:val="22"/>
                <w:szCs w:val="22"/>
                <w:lang w:val="sr-Cyrl-CS"/>
              </w:rPr>
              <w:t>Савлађујући различите задатке и изводећи лабораторијске вежбе,  студенти ће израдити елаборат, који представља предуслов за излазак на испит.</w:t>
            </w:r>
          </w:p>
        </w:tc>
      </w:tr>
      <w:tr w:rsidR="007C04C2">
        <w:tc>
          <w:tcPr>
            <w:tcW w:w="9570" w:type="dxa"/>
            <w:gridSpan w:val="8"/>
            <w:tcBorders>
              <w:top w:val="single" w:sz="4" w:space="0" w:color="auto"/>
              <w:left w:val="single" w:sz="4" w:space="0" w:color="auto"/>
              <w:bottom w:val="single" w:sz="4" w:space="0" w:color="auto"/>
              <w:right w:val="single" w:sz="4" w:space="0" w:color="auto"/>
            </w:tcBorders>
          </w:tcPr>
          <w:p w:rsidR="007C04C2" w:rsidRDefault="007C04C2" w:rsidP="00595EA3">
            <w:pPr>
              <w:jc w:val="center"/>
              <w:rPr>
                <w:bCs/>
                <w:sz w:val="22"/>
                <w:szCs w:val="22"/>
                <w:lang w:val="ru-RU"/>
              </w:rPr>
            </w:pPr>
            <w:r>
              <w:rPr>
                <w:bCs/>
                <w:sz w:val="22"/>
                <w:szCs w:val="22"/>
                <w:lang w:val="sr-Cyrl-CS"/>
              </w:rPr>
              <w:t>Оцена  знања (максимални број поена 100)</w:t>
            </w:r>
          </w:p>
        </w:tc>
      </w:tr>
      <w:tr w:rsidR="007C04C2">
        <w:tc>
          <w:tcPr>
            <w:tcW w:w="3391" w:type="dxa"/>
            <w:gridSpan w:val="3"/>
            <w:tcBorders>
              <w:top w:val="single" w:sz="4" w:space="0" w:color="auto"/>
              <w:left w:val="single" w:sz="4" w:space="0" w:color="auto"/>
              <w:bottom w:val="single" w:sz="4" w:space="0" w:color="auto"/>
              <w:right w:val="single" w:sz="4" w:space="0" w:color="auto"/>
            </w:tcBorders>
          </w:tcPr>
          <w:p w:rsidR="007C04C2" w:rsidRDefault="007C04C2" w:rsidP="00595EA3">
            <w:pPr>
              <w:rPr>
                <w:lang w:val="sr-Cyrl-CS"/>
              </w:rPr>
            </w:pPr>
            <w:r>
              <w:rPr>
                <w:iCs/>
                <w:lang w:val="sr-Cyrl-CS"/>
              </w:rPr>
              <w:t>Предиспитне обавезе</w:t>
            </w:r>
          </w:p>
        </w:tc>
        <w:tc>
          <w:tcPr>
            <w:tcW w:w="1829" w:type="dxa"/>
            <w:gridSpan w:val="2"/>
            <w:tcBorders>
              <w:top w:val="single" w:sz="4" w:space="0" w:color="auto"/>
              <w:left w:val="single" w:sz="4" w:space="0" w:color="auto"/>
              <w:bottom w:val="single" w:sz="4" w:space="0" w:color="auto"/>
              <w:right w:val="single" w:sz="4" w:space="0" w:color="auto"/>
            </w:tcBorders>
          </w:tcPr>
          <w:p w:rsidR="007C04C2" w:rsidRDefault="007C04C2" w:rsidP="00595EA3">
            <w:pPr>
              <w:rPr>
                <w:bCs/>
                <w:lang w:val="en-US"/>
              </w:rPr>
            </w:pPr>
            <w:proofErr w:type="spellStart"/>
            <w:r>
              <w:rPr>
                <w:bCs/>
                <w:lang w:val="en-US"/>
              </w:rPr>
              <w:t>поена</w:t>
            </w:r>
            <w:proofErr w:type="spellEnd"/>
          </w:p>
        </w:tc>
        <w:tc>
          <w:tcPr>
            <w:tcW w:w="3110" w:type="dxa"/>
            <w:gridSpan w:val="2"/>
            <w:tcBorders>
              <w:top w:val="single" w:sz="4" w:space="0" w:color="auto"/>
              <w:left w:val="single" w:sz="4" w:space="0" w:color="auto"/>
              <w:bottom w:val="single" w:sz="4" w:space="0" w:color="auto"/>
              <w:right w:val="single" w:sz="4" w:space="0" w:color="auto"/>
            </w:tcBorders>
          </w:tcPr>
          <w:p w:rsidR="007C04C2" w:rsidRDefault="007C04C2" w:rsidP="00595EA3">
            <w:pPr>
              <w:rPr>
                <w:lang w:val="en-US"/>
              </w:rPr>
            </w:pPr>
            <w:proofErr w:type="spellStart"/>
            <w:r>
              <w:rPr>
                <w:lang w:val="en-US"/>
              </w:rPr>
              <w:t>Завршни</w:t>
            </w:r>
            <w:proofErr w:type="spellEnd"/>
            <w:r>
              <w:rPr>
                <w:lang w:val="en-US"/>
              </w:rPr>
              <w:t xml:space="preserve"> </w:t>
            </w:r>
            <w:proofErr w:type="spellStart"/>
            <w:r>
              <w:rPr>
                <w:lang w:val="en-US"/>
              </w:rPr>
              <w:t>испит</w:t>
            </w:r>
            <w:proofErr w:type="spellEnd"/>
            <w:r>
              <w:rPr>
                <w:lang w:val="en-US"/>
              </w:rPr>
              <w:t xml:space="preserve"> </w:t>
            </w:r>
          </w:p>
        </w:tc>
        <w:tc>
          <w:tcPr>
            <w:tcW w:w="1240" w:type="dxa"/>
            <w:tcBorders>
              <w:top w:val="single" w:sz="4" w:space="0" w:color="auto"/>
              <w:left w:val="single" w:sz="4" w:space="0" w:color="auto"/>
              <w:bottom w:val="single" w:sz="4" w:space="0" w:color="auto"/>
              <w:right w:val="single" w:sz="4" w:space="0" w:color="auto"/>
            </w:tcBorders>
          </w:tcPr>
          <w:p w:rsidR="007C04C2" w:rsidRDefault="007C04C2" w:rsidP="00595EA3">
            <w:pPr>
              <w:rPr>
                <w:i/>
                <w:iCs/>
                <w:lang w:val="en-US"/>
              </w:rPr>
            </w:pPr>
            <w:proofErr w:type="spellStart"/>
            <w:r>
              <w:rPr>
                <w:iCs/>
                <w:lang w:val="en-US"/>
              </w:rPr>
              <w:t>поена</w:t>
            </w:r>
            <w:proofErr w:type="spellEnd"/>
          </w:p>
        </w:tc>
      </w:tr>
      <w:tr w:rsidR="007C04C2">
        <w:tc>
          <w:tcPr>
            <w:tcW w:w="3391" w:type="dxa"/>
            <w:gridSpan w:val="3"/>
            <w:tcBorders>
              <w:top w:val="single" w:sz="4" w:space="0" w:color="auto"/>
              <w:left w:val="single" w:sz="4" w:space="0" w:color="auto"/>
              <w:bottom w:val="single" w:sz="4" w:space="0" w:color="auto"/>
              <w:right w:val="single" w:sz="4" w:space="0" w:color="auto"/>
            </w:tcBorders>
          </w:tcPr>
          <w:p w:rsidR="007C04C2" w:rsidRDefault="007C04C2" w:rsidP="00595EA3">
            <w:pPr>
              <w:rPr>
                <w:i/>
                <w:iCs/>
                <w:lang w:val="sr-Cyrl-CS"/>
              </w:rPr>
            </w:pPr>
            <w:r>
              <w:rPr>
                <w:lang w:val="sr-Cyrl-CS"/>
              </w:rPr>
              <w:t>активност у току предавања</w:t>
            </w:r>
          </w:p>
        </w:tc>
        <w:tc>
          <w:tcPr>
            <w:tcW w:w="1829" w:type="dxa"/>
            <w:gridSpan w:val="2"/>
            <w:tcBorders>
              <w:top w:val="single" w:sz="4" w:space="0" w:color="auto"/>
              <w:left w:val="single" w:sz="4" w:space="0" w:color="auto"/>
              <w:bottom w:val="single" w:sz="4" w:space="0" w:color="auto"/>
              <w:right w:val="single" w:sz="4" w:space="0" w:color="auto"/>
            </w:tcBorders>
          </w:tcPr>
          <w:p w:rsidR="007C04C2" w:rsidRDefault="00E442ED" w:rsidP="00595EA3">
            <w:pPr>
              <w:rPr>
                <w:bCs/>
                <w:lang w:val="sr-Cyrl-CS"/>
              </w:rPr>
            </w:pPr>
            <w:r>
              <w:rPr>
                <w:bCs/>
                <w:lang w:val="sr-Cyrl-CS"/>
              </w:rPr>
              <w:t>5</w:t>
            </w:r>
          </w:p>
        </w:tc>
        <w:tc>
          <w:tcPr>
            <w:tcW w:w="3110" w:type="dxa"/>
            <w:gridSpan w:val="2"/>
            <w:tcBorders>
              <w:top w:val="single" w:sz="4" w:space="0" w:color="auto"/>
              <w:left w:val="single" w:sz="4" w:space="0" w:color="auto"/>
              <w:bottom w:val="single" w:sz="4" w:space="0" w:color="auto"/>
              <w:right w:val="single" w:sz="4" w:space="0" w:color="auto"/>
            </w:tcBorders>
          </w:tcPr>
          <w:p w:rsidR="007C04C2" w:rsidRDefault="007C04C2" w:rsidP="00595EA3">
            <w:pPr>
              <w:rPr>
                <w:i/>
                <w:iCs/>
                <w:lang w:val="sr-Cyrl-CS"/>
              </w:rPr>
            </w:pPr>
            <w:r>
              <w:rPr>
                <w:lang w:val="sr-Cyrl-CS"/>
              </w:rPr>
              <w:t>писмени испит</w:t>
            </w:r>
          </w:p>
        </w:tc>
        <w:tc>
          <w:tcPr>
            <w:tcW w:w="1240" w:type="dxa"/>
            <w:tcBorders>
              <w:top w:val="single" w:sz="4" w:space="0" w:color="auto"/>
              <w:left w:val="single" w:sz="4" w:space="0" w:color="auto"/>
              <w:bottom w:val="single" w:sz="4" w:space="0" w:color="auto"/>
              <w:right w:val="single" w:sz="4" w:space="0" w:color="auto"/>
            </w:tcBorders>
          </w:tcPr>
          <w:p w:rsidR="007C04C2" w:rsidRPr="0073720A" w:rsidRDefault="00E442ED" w:rsidP="00595EA3">
            <w:pPr>
              <w:rPr>
                <w:iCs/>
                <w:lang w:val="sr-Cyrl-CS"/>
              </w:rPr>
            </w:pPr>
            <w:r w:rsidRPr="0073720A">
              <w:rPr>
                <w:iCs/>
                <w:lang w:val="sr-Cyrl-CS"/>
              </w:rPr>
              <w:t>30</w:t>
            </w:r>
          </w:p>
        </w:tc>
      </w:tr>
      <w:tr w:rsidR="007C04C2">
        <w:tc>
          <w:tcPr>
            <w:tcW w:w="3391" w:type="dxa"/>
            <w:gridSpan w:val="3"/>
            <w:tcBorders>
              <w:top w:val="single" w:sz="4" w:space="0" w:color="auto"/>
              <w:left w:val="single" w:sz="4" w:space="0" w:color="auto"/>
              <w:bottom w:val="single" w:sz="4" w:space="0" w:color="auto"/>
              <w:right w:val="single" w:sz="4" w:space="0" w:color="auto"/>
            </w:tcBorders>
          </w:tcPr>
          <w:p w:rsidR="007C04C2" w:rsidRDefault="007C04C2" w:rsidP="00595EA3">
            <w:pPr>
              <w:rPr>
                <w:i/>
                <w:iCs/>
                <w:lang w:val="sr-Cyrl-CS"/>
              </w:rPr>
            </w:pPr>
            <w:r>
              <w:rPr>
                <w:lang w:val="sr-Cyrl-CS"/>
              </w:rPr>
              <w:t>практична настава</w:t>
            </w:r>
          </w:p>
        </w:tc>
        <w:tc>
          <w:tcPr>
            <w:tcW w:w="1829" w:type="dxa"/>
            <w:gridSpan w:val="2"/>
            <w:tcBorders>
              <w:top w:val="single" w:sz="4" w:space="0" w:color="auto"/>
              <w:left w:val="single" w:sz="4" w:space="0" w:color="auto"/>
              <w:bottom w:val="single" w:sz="4" w:space="0" w:color="auto"/>
              <w:right w:val="single" w:sz="4" w:space="0" w:color="auto"/>
            </w:tcBorders>
          </w:tcPr>
          <w:p w:rsidR="007C04C2" w:rsidRDefault="00E442ED" w:rsidP="00595EA3">
            <w:pPr>
              <w:rPr>
                <w:bCs/>
                <w:lang w:val="sr-Cyrl-CS"/>
              </w:rPr>
            </w:pPr>
            <w:r>
              <w:rPr>
                <w:bCs/>
                <w:lang w:val="sr-Cyrl-CS"/>
              </w:rPr>
              <w:t>5</w:t>
            </w:r>
          </w:p>
        </w:tc>
        <w:tc>
          <w:tcPr>
            <w:tcW w:w="3110" w:type="dxa"/>
            <w:gridSpan w:val="2"/>
            <w:tcBorders>
              <w:top w:val="single" w:sz="4" w:space="0" w:color="auto"/>
              <w:left w:val="single" w:sz="4" w:space="0" w:color="auto"/>
              <w:bottom w:val="single" w:sz="4" w:space="0" w:color="auto"/>
              <w:right w:val="single" w:sz="4" w:space="0" w:color="auto"/>
            </w:tcBorders>
          </w:tcPr>
          <w:p w:rsidR="007C04C2" w:rsidRDefault="007C04C2" w:rsidP="00595EA3">
            <w:pPr>
              <w:rPr>
                <w:i/>
                <w:iCs/>
                <w:lang w:val="sr-Cyrl-CS"/>
              </w:rPr>
            </w:pPr>
            <w:r>
              <w:rPr>
                <w:lang w:val="sr-Cyrl-CS"/>
              </w:rPr>
              <w:t>усмени испт</w:t>
            </w:r>
          </w:p>
        </w:tc>
        <w:tc>
          <w:tcPr>
            <w:tcW w:w="1240" w:type="dxa"/>
            <w:tcBorders>
              <w:top w:val="single" w:sz="4" w:space="0" w:color="auto"/>
              <w:left w:val="single" w:sz="4" w:space="0" w:color="auto"/>
              <w:bottom w:val="single" w:sz="4" w:space="0" w:color="auto"/>
              <w:right w:val="single" w:sz="4" w:space="0" w:color="auto"/>
            </w:tcBorders>
          </w:tcPr>
          <w:p w:rsidR="007C04C2" w:rsidRDefault="00E442ED" w:rsidP="00595EA3">
            <w:pPr>
              <w:rPr>
                <w:iCs/>
                <w:lang w:val="sr-Cyrl-CS"/>
              </w:rPr>
            </w:pPr>
            <w:r>
              <w:rPr>
                <w:iCs/>
                <w:lang w:val="sr-Cyrl-CS"/>
              </w:rPr>
              <w:t>30</w:t>
            </w:r>
          </w:p>
        </w:tc>
      </w:tr>
      <w:tr w:rsidR="007C04C2">
        <w:tc>
          <w:tcPr>
            <w:tcW w:w="3391" w:type="dxa"/>
            <w:gridSpan w:val="3"/>
            <w:tcBorders>
              <w:top w:val="single" w:sz="4" w:space="0" w:color="auto"/>
              <w:left w:val="single" w:sz="4" w:space="0" w:color="auto"/>
              <w:bottom w:val="single" w:sz="4" w:space="0" w:color="auto"/>
              <w:right w:val="single" w:sz="4" w:space="0" w:color="auto"/>
            </w:tcBorders>
          </w:tcPr>
          <w:p w:rsidR="007C04C2" w:rsidRDefault="007C04C2" w:rsidP="00595EA3">
            <w:pPr>
              <w:rPr>
                <w:i/>
                <w:iCs/>
                <w:lang w:val="sr-Cyrl-CS"/>
              </w:rPr>
            </w:pPr>
            <w:r>
              <w:rPr>
                <w:lang w:val="sr-Cyrl-CS"/>
              </w:rPr>
              <w:t>колоквијум-и</w:t>
            </w:r>
          </w:p>
        </w:tc>
        <w:tc>
          <w:tcPr>
            <w:tcW w:w="1829" w:type="dxa"/>
            <w:gridSpan w:val="2"/>
            <w:tcBorders>
              <w:top w:val="single" w:sz="4" w:space="0" w:color="auto"/>
              <w:left w:val="single" w:sz="4" w:space="0" w:color="auto"/>
              <w:bottom w:val="single" w:sz="4" w:space="0" w:color="auto"/>
              <w:right w:val="single" w:sz="4" w:space="0" w:color="auto"/>
            </w:tcBorders>
          </w:tcPr>
          <w:p w:rsidR="007C04C2" w:rsidRDefault="00E442ED" w:rsidP="00595EA3">
            <w:pPr>
              <w:rPr>
                <w:bCs/>
                <w:lang w:val="sr-Cyrl-CS"/>
              </w:rPr>
            </w:pPr>
            <w:r>
              <w:rPr>
                <w:bCs/>
                <w:lang w:val="sr-Cyrl-CS"/>
              </w:rPr>
              <w:t>15</w:t>
            </w:r>
          </w:p>
        </w:tc>
        <w:tc>
          <w:tcPr>
            <w:tcW w:w="3110" w:type="dxa"/>
            <w:gridSpan w:val="2"/>
            <w:tcBorders>
              <w:top w:val="single" w:sz="4" w:space="0" w:color="auto"/>
              <w:left w:val="single" w:sz="4" w:space="0" w:color="auto"/>
              <w:bottom w:val="single" w:sz="4" w:space="0" w:color="auto"/>
              <w:right w:val="single" w:sz="4" w:space="0" w:color="auto"/>
            </w:tcBorders>
          </w:tcPr>
          <w:p w:rsidR="007C04C2" w:rsidRDefault="007C04C2" w:rsidP="00595EA3">
            <w:pPr>
              <w:rPr>
                <w:i/>
                <w:iCs/>
                <w:lang w:val="sr-Cyrl-CS"/>
              </w:rPr>
            </w:pPr>
          </w:p>
        </w:tc>
        <w:tc>
          <w:tcPr>
            <w:tcW w:w="1240" w:type="dxa"/>
            <w:tcBorders>
              <w:top w:val="single" w:sz="4" w:space="0" w:color="auto"/>
              <w:left w:val="single" w:sz="4" w:space="0" w:color="auto"/>
              <w:bottom w:val="single" w:sz="4" w:space="0" w:color="auto"/>
              <w:right w:val="single" w:sz="4" w:space="0" w:color="auto"/>
            </w:tcBorders>
          </w:tcPr>
          <w:p w:rsidR="007C04C2" w:rsidRDefault="007C04C2" w:rsidP="00595EA3">
            <w:pPr>
              <w:rPr>
                <w:i/>
                <w:iCs/>
                <w:lang w:val="sr-Cyrl-CS"/>
              </w:rPr>
            </w:pPr>
          </w:p>
        </w:tc>
      </w:tr>
      <w:tr w:rsidR="007C04C2">
        <w:tc>
          <w:tcPr>
            <w:tcW w:w="3391" w:type="dxa"/>
            <w:gridSpan w:val="3"/>
            <w:tcBorders>
              <w:top w:val="single" w:sz="4" w:space="0" w:color="auto"/>
              <w:left w:val="single" w:sz="4" w:space="0" w:color="auto"/>
              <w:bottom w:val="single" w:sz="4" w:space="0" w:color="auto"/>
              <w:right w:val="single" w:sz="4" w:space="0" w:color="auto"/>
            </w:tcBorders>
          </w:tcPr>
          <w:p w:rsidR="007C04C2" w:rsidRDefault="007C04C2" w:rsidP="00595EA3">
            <w:pPr>
              <w:rPr>
                <w:lang w:val="sr-Cyrl-CS"/>
              </w:rPr>
            </w:pPr>
            <w:r>
              <w:rPr>
                <w:lang w:val="sr-Cyrl-CS"/>
              </w:rPr>
              <w:t>семинар-и</w:t>
            </w:r>
          </w:p>
        </w:tc>
        <w:tc>
          <w:tcPr>
            <w:tcW w:w="1829" w:type="dxa"/>
            <w:gridSpan w:val="2"/>
            <w:tcBorders>
              <w:top w:val="single" w:sz="4" w:space="0" w:color="auto"/>
              <w:left w:val="single" w:sz="4" w:space="0" w:color="auto"/>
              <w:bottom w:val="single" w:sz="4" w:space="0" w:color="auto"/>
              <w:right w:val="single" w:sz="4" w:space="0" w:color="auto"/>
            </w:tcBorders>
          </w:tcPr>
          <w:p w:rsidR="007C04C2" w:rsidRDefault="00E442ED" w:rsidP="00595EA3">
            <w:pPr>
              <w:rPr>
                <w:bCs/>
                <w:lang w:val="sr-Cyrl-CS"/>
              </w:rPr>
            </w:pPr>
            <w:r>
              <w:rPr>
                <w:bCs/>
                <w:lang w:val="sr-Cyrl-CS"/>
              </w:rPr>
              <w:t>15</w:t>
            </w:r>
          </w:p>
        </w:tc>
        <w:tc>
          <w:tcPr>
            <w:tcW w:w="3110" w:type="dxa"/>
            <w:gridSpan w:val="2"/>
            <w:tcBorders>
              <w:top w:val="single" w:sz="4" w:space="0" w:color="auto"/>
              <w:left w:val="single" w:sz="4" w:space="0" w:color="auto"/>
              <w:bottom w:val="single" w:sz="4" w:space="0" w:color="auto"/>
              <w:right w:val="single" w:sz="4" w:space="0" w:color="auto"/>
            </w:tcBorders>
          </w:tcPr>
          <w:p w:rsidR="007C04C2" w:rsidRDefault="007C04C2" w:rsidP="00595EA3">
            <w:pPr>
              <w:rPr>
                <w:i/>
                <w:iCs/>
                <w:lang w:val="sr-Cyrl-CS"/>
              </w:rPr>
            </w:pPr>
          </w:p>
        </w:tc>
        <w:tc>
          <w:tcPr>
            <w:tcW w:w="1240" w:type="dxa"/>
            <w:tcBorders>
              <w:top w:val="single" w:sz="4" w:space="0" w:color="auto"/>
              <w:left w:val="single" w:sz="4" w:space="0" w:color="auto"/>
              <w:bottom w:val="single" w:sz="4" w:space="0" w:color="auto"/>
              <w:right w:val="single" w:sz="4" w:space="0" w:color="auto"/>
            </w:tcBorders>
          </w:tcPr>
          <w:p w:rsidR="007C04C2" w:rsidRDefault="007C04C2" w:rsidP="00595EA3">
            <w:pPr>
              <w:rPr>
                <w:i/>
                <w:iCs/>
                <w:lang w:val="sr-Cyrl-CS"/>
              </w:rPr>
            </w:pPr>
          </w:p>
        </w:tc>
      </w:tr>
    </w:tbl>
    <w:p w:rsidR="00DB01B9" w:rsidRDefault="00DB01B9"/>
    <w:sectPr w:rsidR="00DB01B9" w:rsidSect="00DB01B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1217"/>
    <w:multiLevelType w:val="hybridMultilevel"/>
    <w:tmpl w:val="509CC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C57C2"/>
    <w:rsid w:val="000C57C2"/>
    <w:rsid w:val="00133078"/>
    <w:rsid w:val="00173326"/>
    <w:rsid w:val="002610B9"/>
    <w:rsid w:val="002C0420"/>
    <w:rsid w:val="00595EA3"/>
    <w:rsid w:val="0073720A"/>
    <w:rsid w:val="007C04C2"/>
    <w:rsid w:val="00A857A2"/>
    <w:rsid w:val="00D939C7"/>
    <w:rsid w:val="00DB01B9"/>
    <w:rsid w:val="00DC63D3"/>
    <w:rsid w:val="00E442ED"/>
    <w:rsid w:val="00FE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C2"/>
    <w:pPr>
      <w:widowControl w:val="0"/>
      <w:autoSpaceDE w:val="0"/>
      <w:autoSpaceDN w:val="0"/>
      <w:adjustRightInd w:val="0"/>
    </w:pPr>
    <w:rPr>
      <w:rFonts w:ascii="Times New Roman" w:eastAsia="Times New Roman" w:hAnsi="Times New Roman"/>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57C2"/>
    <w:rPr>
      <w:color w:val="0000FF"/>
      <w:u w:val="single"/>
    </w:rPr>
  </w:style>
  <w:style w:type="paragraph" w:styleId="ListParagraph">
    <w:name w:val="List Paragraph"/>
    <w:basedOn w:val="Normal"/>
    <w:uiPriority w:val="34"/>
    <w:qFormat/>
    <w:rsid w:val="00737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140343">
      <w:bodyDiv w:val="1"/>
      <w:marLeft w:val="0"/>
      <w:marRight w:val="0"/>
      <w:marTop w:val="0"/>
      <w:marBottom w:val="0"/>
      <w:divBdr>
        <w:top w:val="none" w:sz="0" w:space="0" w:color="auto"/>
        <w:left w:val="none" w:sz="0" w:space="0" w:color="auto"/>
        <w:bottom w:val="none" w:sz="0" w:space="0" w:color="auto"/>
        <w:right w:val="none" w:sz="0" w:space="0" w:color="auto"/>
      </w:divBdr>
    </w:div>
    <w:div w:id="18215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55;&#1056;&#1048;&#1051;&#1054;&#1043;%209.5.%20-%20&#1050;&#1034;&#1048;&#1043;&#1040;_&#1057;&#1040;&#1056;&#1040;&#1044;&#1053;&#1048;&#1050;&#1040;/&#1052;&#1072;&#1088;&#1080;&#1112;&#1072;&#1085;&#1072;%20&#1056;.%20&#1053;&#1086;&#1074;&#1072;&#1082;&#1086;&#1074;&#1080;&#1115;-&#1042;&#1091;&#1082;&#1086;&#1074;&#1080;&#1115;.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Maza</cp:lastModifiedBy>
  <cp:revision>4</cp:revision>
  <cp:lastPrinted>2013-01-31T20:41:00Z</cp:lastPrinted>
  <dcterms:created xsi:type="dcterms:W3CDTF">2013-02-04T12:17:00Z</dcterms:created>
  <dcterms:modified xsi:type="dcterms:W3CDTF">2013-09-25T12:33:00Z</dcterms:modified>
</cp:coreProperties>
</file>