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3B6" w:rsidRDefault="001A43B6" w:rsidP="001A43B6">
      <w:pPr>
        <w:rPr>
          <w:b/>
          <w:lang w:val="ru-RU"/>
        </w:rPr>
      </w:pPr>
      <w:r>
        <w:rPr>
          <w:b/>
          <w:lang w:val="sr-Cyrl-CS"/>
        </w:rPr>
        <w:t>Табела 5.</w:t>
      </w:r>
      <w:r>
        <w:rPr>
          <w:b/>
        </w:rPr>
        <w:t>2.</w:t>
      </w:r>
      <w:r>
        <w:rPr>
          <w:b/>
          <w:lang w:val="sr-Cyrl-CS"/>
        </w:rPr>
        <w:t xml:space="preserve"> </w:t>
      </w:r>
      <w:r>
        <w:rPr>
          <w:lang w:val="sr-Cyrl-CS"/>
        </w:rPr>
        <w:t>Спецификација</w:t>
      </w:r>
      <w:r>
        <w:t xml:space="preserve"> </w:t>
      </w:r>
      <w:r>
        <w:rPr>
          <w:lang w:val="sr-Cyrl-CS"/>
        </w:rPr>
        <w:t xml:space="preserve"> предмета на студијском програму мастер студија</w:t>
      </w:r>
    </w:p>
    <w:p w:rsidR="00B93179" w:rsidRDefault="00B9317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5"/>
        <w:gridCol w:w="1038"/>
        <w:gridCol w:w="794"/>
        <w:gridCol w:w="1841"/>
        <w:gridCol w:w="571"/>
        <w:gridCol w:w="2269"/>
        <w:gridCol w:w="326"/>
        <w:gridCol w:w="1248"/>
      </w:tblGrid>
      <w:tr w:rsidR="001A43B6" w:rsidTr="00B30CC4">
        <w:tc>
          <w:tcPr>
            <w:tcW w:w="9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D56CF9" w:rsidP="00B30CC4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4"/>
                <w:szCs w:val="24"/>
                <w:lang w:val="sr-Cyrl-CS"/>
              </w:rPr>
              <w:t>Студијски програм</w:t>
            </w:r>
            <w:r>
              <w:rPr>
                <w:bCs/>
                <w:sz w:val="24"/>
                <w:szCs w:val="24"/>
                <w:lang w:val="ru-RU"/>
              </w:rPr>
              <w:t>:</w:t>
            </w:r>
            <w:r>
              <w:rPr>
                <w:sz w:val="24"/>
                <w:szCs w:val="24"/>
                <w:lang w:val="sr-Cyrl-CS"/>
              </w:rPr>
              <w:t xml:space="preserve"> </w:t>
            </w:r>
            <w:r>
              <w:rPr>
                <w:color w:val="180000"/>
                <w:sz w:val="24"/>
                <w:szCs w:val="24"/>
                <w:lang w:val="sr-Cyrl-CS"/>
              </w:rPr>
              <w:t>Мастер студије за технологије, менаџм</w:t>
            </w:r>
            <w:r>
              <w:rPr>
                <w:color w:val="180000"/>
                <w:sz w:val="24"/>
                <w:szCs w:val="24"/>
                <w:lang w:val="en-US"/>
              </w:rPr>
              <w:t>e</w:t>
            </w:r>
            <w:r>
              <w:rPr>
                <w:color w:val="180000"/>
                <w:sz w:val="24"/>
                <w:szCs w:val="24"/>
                <w:lang w:val="sr-Cyrl-CS"/>
              </w:rPr>
              <w:t>нт и пројектовање намештаја и производа од дрвета</w:t>
            </w:r>
          </w:p>
        </w:tc>
      </w:tr>
      <w:tr w:rsidR="001A43B6" w:rsidRPr="001A43B6" w:rsidTr="00B30CC4">
        <w:tc>
          <w:tcPr>
            <w:tcW w:w="9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Pr="001A43B6" w:rsidRDefault="001A43B6" w:rsidP="00B30CC4">
            <w:pPr>
              <w:rPr>
                <w:bCs/>
                <w:sz w:val="22"/>
                <w:szCs w:val="22"/>
              </w:rPr>
            </w:pPr>
          </w:p>
        </w:tc>
      </w:tr>
      <w:tr w:rsidR="001A43B6" w:rsidTr="00B30CC4">
        <w:trPr>
          <w:trHeight w:val="70"/>
        </w:trPr>
        <w:tc>
          <w:tcPr>
            <w:tcW w:w="9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Pr="00E57C85" w:rsidRDefault="001A43B6" w:rsidP="00B30CC4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sr-Cyrl-CS"/>
              </w:rPr>
              <w:t xml:space="preserve">Назив предмета: </w:t>
            </w:r>
            <w:r w:rsidR="00E57C85">
              <w:rPr>
                <w:bCs/>
                <w:sz w:val="22"/>
                <w:szCs w:val="22"/>
              </w:rPr>
              <w:t>Површинска обрада дрвета у екстеријеру</w:t>
            </w:r>
          </w:p>
        </w:tc>
      </w:tr>
      <w:tr w:rsidR="001A43B6" w:rsidTr="00B30CC4">
        <w:tc>
          <w:tcPr>
            <w:tcW w:w="9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1A43B6" w:rsidP="00B30CC4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 xml:space="preserve">Наставник и сарадници: </w:t>
            </w:r>
            <w:hyperlink r:id="rId4" w:history="1">
              <w:r w:rsidR="00CE2E80" w:rsidRPr="0039356A">
                <w:rPr>
                  <w:rStyle w:val="Hyperlink"/>
                  <w:bCs/>
                  <w:sz w:val="22"/>
                  <w:szCs w:val="22"/>
                  <w:lang w:val="en-US"/>
                </w:rPr>
                <w:t xml:space="preserve">др </w:t>
              </w:r>
              <w:r w:rsidR="00E57C85" w:rsidRPr="0039356A">
                <w:rPr>
                  <w:rStyle w:val="Hyperlink"/>
                  <w:bCs/>
                  <w:sz w:val="22"/>
                  <w:szCs w:val="22"/>
                  <w:lang w:val="sr-Cyrl-CS"/>
                </w:rPr>
                <w:t>Милан И. Јаић</w:t>
              </w:r>
            </w:hyperlink>
            <w:r w:rsidR="00E57C85">
              <w:rPr>
                <w:bCs/>
                <w:sz w:val="22"/>
                <w:szCs w:val="22"/>
                <w:lang w:val="sr-Cyrl-CS"/>
              </w:rPr>
              <w:t xml:space="preserve">, </w:t>
            </w:r>
            <w:hyperlink r:id="rId5" w:history="1">
              <w:r w:rsidR="00CE2E80" w:rsidRPr="00107766">
                <w:rPr>
                  <w:rStyle w:val="Hyperlink"/>
                  <w:bCs/>
                  <w:sz w:val="22"/>
                  <w:szCs w:val="22"/>
                  <w:lang w:val="sr-Cyrl-CS"/>
                </w:rPr>
                <w:t>дипл.инг</w:t>
              </w:r>
              <w:r w:rsidR="00E57C85" w:rsidRPr="00107766">
                <w:rPr>
                  <w:rStyle w:val="Hyperlink"/>
                  <w:bCs/>
                  <w:sz w:val="22"/>
                  <w:szCs w:val="22"/>
                  <w:lang w:val="sr-Cyrl-CS"/>
                </w:rPr>
                <w:t>Тањ</w:t>
              </w:r>
              <w:r w:rsidR="00E57C85" w:rsidRPr="00107766">
                <w:rPr>
                  <w:rStyle w:val="Hyperlink"/>
                  <w:bCs/>
                  <w:sz w:val="22"/>
                  <w:szCs w:val="22"/>
                  <w:lang w:val="sr-Cyrl-CS"/>
                </w:rPr>
                <w:t>а Б. Палија</w:t>
              </w:r>
            </w:hyperlink>
          </w:p>
        </w:tc>
      </w:tr>
      <w:tr w:rsidR="001A43B6" w:rsidTr="00B30CC4">
        <w:tc>
          <w:tcPr>
            <w:tcW w:w="9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1A43B6" w:rsidP="00B30CC4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sr-Cyrl-CS"/>
              </w:rPr>
              <w:t xml:space="preserve">Статус предмета: </w:t>
            </w:r>
            <w:r w:rsidR="00E57C85">
              <w:rPr>
                <w:bCs/>
                <w:sz w:val="22"/>
                <w:szCs w:val="22"/>
                <w:lang w:val="sr-Cyrl-CS"/>
              </w:rPr>
              <w:t>изборни</w:t>
            </w:r>
          </w:p>
        </w:tc>
      </w:tr>
      <w:tr w:rsidR="001A43B6" w:rsidTr="00B30CC4">
        <w:tc>
          <w:tcPr>
            <w:tcW w:w="9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1A43B6" w:rsidP="00B30CC4">
            <w:pPr>
              <w:rPr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Број ЕСПБ</w:t>
            </w:r>
            <w:r w:rsidR="00E57C85">
              <w:rPr>
                <w:bCs/>
                <w:sz w:val="22"/>
                <w:szCs w:val="22"/>
                <w:lang w:val="sr-Cyrl-CS"/>
              </w:rPr>
              <w:t>: 8</w:t>
            </w:r>
          </w:p>
        </w:tc>
      </w:tr>
      <w:tr w:rsidR="001A43B6" w:rsidTr="00B30CC4">
        <w:tc>
          <w:tcPr>
            <w:tcW w:w="9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1A43B6" w:rsidP="00B30CC4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sr-Cyrl-CS"/>
              </w:rPr>
              <w:t>Услов</w:t>
            </w:r>
            <w:r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  <w:lang w:val="sr-Cyrl-CS"/>
              </w:rPr>
              <w:t xml:space="preserve"> </w:t>
            </w:r>
          </w:p>
        </w:tc>
      </w:tr>
      <w:tr w:rsidR="001A43B6" w:rsidTr="00B30CC4">
        <w:tc>
          <w:tcPr>
            <w:tcW w:w="9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E57C85" w:rsidP="000677C0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Циљ предмета:</w:t>
            </w:r>
            <w:r w:rsidR="009F59BC" w:rsidRPr="00DC47FD">
              <w:rPr>
                <w:sz w:val="22"/>
                <w:szCs w:val="22"/>
                <w:lang w:val="sr-Cyrl-CS"/>
              </w:rPr>
              <w:t xml:space="preserve"> Упознавање студената са материјалима који се примењују у површинској обради дрвета</w:t>
            </w:r>
            <w:r w:rsidR="009F59BC">
              <w:rPr>
                <w:sz w:val="22"/>
                <w:szCs w:val="22"/>
                <w:lang w:val="sr-Cyrl-CS"/>
              </w:rPr>
              <w:t xml:space="preserve"> у екстеријеру</w:t>
            </w:r>
            <w:r w:rsidR="009F59BC" w:rsidRPr="00DC47FD">
              <w:rPr>
                <w:sz w:val="22"/>
                <w:szCs w:val="22"/>
                <w:lang w:val="sr-Cyrl-CS"/>
              </w:rPr>
              <w:t xml:space="preserve">. Стицање знања о </w:t>
            </w:r>
            <w:r w:rsidR="007225A3">
              <w:rPr>
                <w:sz w:val="22"/>
                <w:szCs w:val="22"/>
                <w:lang w:val="sr-Cyrl-CS"/>
              </w:rPr>
              <w:t>поступцима наношења, одржавања и уклањања премаза на производима од дрвета у екстеријеру</w:t>
            </w:r>
            <w:r w:rsidR="009F59BC" w:rsidRPr="00DC47FD">
              <w:rPr>
                <w:sz w:val="22"/>
                <w:szCs w:val="22"/>
                <w:lang w:val="sr-Cyrl-CS"/>
              </w:rPr>
              <w:t xml:space="preserve">. </w:t>
            </w:r>
            <w:r w:rsidR="00002A37" w:rsidRPr="00002A37">
              <w:rPr>
                <w:sz w:val="22"/>
                <w:szCs w:val="22"/>
                <w:lang w:val="sr-Cyrl-CS"/>
              </w:rPr>
              <w:t>Оцењивање трајности површинске обраде дрвета у условима спољашње средине путем испитивања отпорности лакиране површине на деловање климе.</w:t>
            </w:r>
          </w:p>
        </w:tc>
      </w:tr>
      <w:tr w:rsidR="001A43B6" w:rsidTr="00B30CC4">
        <w:tc>
          <w:tcPr>
            <w:tcW w:w="9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BC" w:rsidRPr="009F59BC" w:rsidRDefault="00E57C85" w:rsidP="009F59BC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sr-Cyrl-CS"/>
              </w:rPr>
              <w:t>Исход предмета:</w:t>
            </w:r>
            <w:r w:rsidR="009F59BC" w:rsidRPr="009F59BC">
              <w:rPr>
                <w:rFonts w:ascii="TimesNewRomanPSMT" w:eastAsia="Calibri" w:hAnsi="TimesNewRomanPSMT" w:cs="TimesNewRomanPSMT"/>
                <w:lang w:val="en-US" w:eastAsia="en-US"/>
              </w:rPr>
              <w:t xml:space="preserve"> </w:t>
            </w:r>
            <w:r w:rsidR="009F59BC" w:rsidRPr="009F59BC">
              <w:rPr>
                <w:bCs/>
                <w:sz w:val="22"/>
                <w:szCs w:val="22"/>
                <w:lang w:val="en-US"/>
              </w:rPr>
              <w:t>Оспособљавање студената да после одслушаног курса могу самостално да воде</w:t>
            </w:r>
          </w:p>
          <w:p w:rsidR="009F59BC" w:rsidRPr="009F59BC" w:rsidRDefault="009F59BC" w:rsidP="009F59BC">
            <w:pPr>
              <w:rPr>
                <w:bCs/>
                <w:sz w:val="22"/>
                <w:szCs w:val="22"/>
                <w:lang w:val="en-US"/>
              </w:rPr>
            </w:pPr>
            <w:r w:rsidRPr="009F59BC">
              <w:rPr>
                <w:bCs/>
                <w:sz w:val="22"/>
                <w:szCs w:val="22"/>
                <w:lang w:val="en-US"/>
              </w:rPr>
              <w:t>технолошки процес површинске обраде у производњи финалних производа у екстеријеру, те да на</w:t>
            </w:r>
          </w:p>
          <w:p w:rsidR="001A43B6" w:rsidRPr="009F59BC" w:rsidRDefault="009F59BC" w:rsidP="0011016F">
            <w:pPr>
              <w:rPr>
                <w:bCs/>
                <w:sz w:val="22"/>
                <w:szCs w:val="22"/>
                <w:lang w:val="en-US"/>
              </w:rPr>
            </w:pPr>
            <w:r w:rsidRPr="009F59BC">
              <w:rPr>
                <w:bCs/>
                <w:sz w:val="22"/>
                <w:szCs w:val="22"/>
                <w:lang w:val="en-US"/>
              </w:rPr>
              <w:t xml:space="preserve">основу стечених знања могу самостално да доносе одлуке при одлучивању о </w:t>
            </w:r>
            <w:r>
              <w:rPr>
                <w:bCs/>
                <w:sz w:val="22"/>
                <w:szCs w:val="22"/>
              </w:rPr>
              <w:t xml:space="preserve">избору система површинске обраде и </w:t>
            </w:r>
            <w:r w:rsidRPr="009F59BC">
              <w:rPr>
                <w:bCs/>
                <w:sz w:val="22"/>
                <w:szCs w:val="22"/>
                <w:lang w:val="en-US"/>
              </w:rPr>
              <w:t>инвестиционим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7225A3">
              <w:rPr>
                <w:bCs/>
                <w:sz w:val="22"/>
                <w:szCs w:val="22"/>
                <w:lang w:val="en-US"/>
              </w:rPr>
              <w:t>улагањима у опрему за површинск</w:t>
            </w:r>
            <w:r w:rsidR="0011016F">
              <w:rPr>
                <w:bCs/>
                <w:sz w:val="22"/>
                <w:szCs w:val="22"/>
              </w:rPr>
              <w:t>у</w:t>
            </w:r>
            <w:r w:rsidRPr="009F59BC">
              <w:rPr>
                <w:bCs/>
                <w:sz w:val="22"/>
                <w:szCs w:val="22"/>
                <w:lang w:val="en-US"/>
              </w:rPr>
              <w:t xml:space="preserve"> обраду дрвета, како у индустријским погонима, тако и у малим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9F59BC">
              <w:rPr>
                <w:bCs/>
                <w:sz w:val="22"/>
                <w:szCs w:val="22"/>
                <w:lang w:val="en-US"/>
              </w:rPr>
              <w:t>и средњим предузећима.</w:t>
            </w:r>
          </w:p>
        </w:tc>
      </w:tr>
      <w:tr w:rsidR="001A43B6" w:rsidTr="00B30CC4">
        <w:tc>
          <w:tcPr>
            <w:tcW w:w="9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BC" w:rsidRPr="009F59BC" w:rsidRDefault="009F59BC" w:rsidP="009F59BC">
            <w:pPr>
              <w:rPr>
                <w:bCs/>
                <w:sz w:val="22"/>
                <w:szCs w:val="22"/>
                <w:lang w:val="en-US"/>
              </w:rPr>
            </w:pPr>
            <w:r w:rsidRPr="009F59BC">
              <w:rPr>
                <w:bCs/>
                <w:i/>
                <w:iCs/>
                <w:sz w:val="22"/>
                <w:szCs w:val="22"/>
                <w:lang w:val="en-US"/>
              </w:rPr>
              <w:t xml:space="preserve">Теоријска настава: </w:t>
            </w:r>
            <w:r w:rsidRPr="009F59BC">
              <w:rPr>
                <w:bCs/>
                <w:sz w:val="22"/>
                <w:szCs w:val="22"/>
                <w:lang w:val="en-US"/>
              </w:rPr>
              <w:t>Увод, својства дрвета и трајност површинске заштите, производи од дрвета у</w:t>
            </w:r>
          </w:p>
          <w:p w:rsidR="009F59BC" w:rsidRPr="009F59BC" w:rsidRDefault="009F59BC" w:rsidP="009F59BC">
            <w:pPr>
              <w:rPr>
                <w:bCs/>
                <w:sz w:val="22"/>
                <w:szCs w:val="22"/>
                <w:lang w:val="en-US"/>
              </w:rPr>
            </w:pPr>
            <w:r w:rsidRPr="009F59BC">
              <w:rPr>
                <w:bCs/>
                <w:sz w:val="22"/>
                <w:szCs w:val="22"/>
                <w:lang w:val="en-US"/>
              </w:rPr>
              <w:t>екстеријеру, weathering дрвета, процес ведеринга, деградација површине, типови премаза за заштиту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9F59BC">
              <w:rPr>
                <w:bCs/>
                <w:sz w:val="22"/>
                <w:szCs w:val="22"/>
                <w:lang w:val="en-US"/>
              </w:rPr>
              <w:t xml:space="preserve">дрвета у екстеријеру, </w:t>
            </w:r>
            <w:r w:rsidR="00AB4022" w:rsidRPr="009F59BC">
              <w:rPr>
                <w:bCs/>
                <w:sz w:val="22"/>
                <w:szCs w:val="22"/>
                <w:lang w:val="en-US"/>
              </w:rPr>
              <w:t>пенетрирајући премази, филмогени</w:t>
            </w:r>
            <w:r w:rsidR="00AB4022">
              <w:rPr>
                <w:bCs/>
                <w:sz w:val="22"/>
                <w:szCs w:val="22"/>
              </w:rPr>
              <w:t xml:space="preserve"> </w:t>
            </w:r>
            <w:r w:rsidR="00AB4022" w:rsidRPr="009F59BC">
              <w:rPr>
                <w:bCs/>
                <w:sz w:val="22"/>
                <w:szCs w:val="22"/>
                <w:lang w:val="en-US"/>
              </w:rPr>
              <w:t>материјали,</w:t>
            </w:r>
            <w:r w:rsidR="00AB4022">
              <w:rPr>
                <w:bCs/>
                <w:sz w:val="22"/>
                <w:szCs w:val="22"/>
              </w:rPr>
              <w:t xml:space="preserve"> </w:t>
            </w:r>
            <w:r w:rsidR="007225A3">
              <w:rPr>
                <w:bCs/>
                <w:sz w:val="22"/>
                <w:szCs w:val="22"/>
              </w:rPr>
              <w:t xml:space="preserve">хемијска средства, </w:t>
            </w:r>
            <w:r w:rsidRPr="009F59BC">
              <w:rPr>
                <w:bCs/>
                <w:sz w:val="22"/>
                <w:szCs w:val="22"/>
                <w:lang w:val="en-US"/>
              </w:rPr>
              <w:t xml:space="preserve">обојени премази, лазуре, премази на природној основи, </w:t>
            </w:r>
            <w:r w:rsidR="007225A3" w:rsidRPr="009F59BC">
              <w:rPr>
                <w:bCs/>
                <w:sz w:val="22"/>
                <w:szCs w:val="22"/>
                <w:lang w:val="en-US"/>
              </w:rPr>
              <w:t xml:space="preserve">уља, воскови, </w:t>
            </w:r>
            <w:r w:rsidRPr="009F59BC">
              <w:rPr>
                <w:bCs/>
                <w:sz w:val="22"/>
                <w:szCs w:val="22"/>
                <w:lang w:val="en-US"/>
              </w:rPr>
              <w:t>водоодбојни</w:t>
            </w:r>
            <w:r w:rsidR="00AB4022">
              <w:rPr>
                <w:bCs/>
                <w:sz w:val="22"/>
                <w:szCs w:val="22"/>
              </w:rPr>
              <w:t xml:space="preserve"> </w:t>
            </w:r>
            <w:r w:rsidRPr="009F59BC">
              <w:rPr>
                <w:bCs/>
                <w:sz w:val="22"/>
                <w:szCs w:val="22"/>
                <w:lang w:val="en-US"/>
              </w:rPr>
              <w:t>материјали, водени премази за екстеријер</w:t>
            </w:r>
            <w:r w:rsidR="007225A3" w:rsidRPr="009F59BC">
              <w:rPr>
                <w:bCs/>
                <w:sz w:val="22"/>
                <w:szCs w:val="22"/>
                <w:lang w:val="en-US"/>
              </w:rPr>
              <w:t>, ватроотпорни премази</w:t>
            </w:r>
            <w:r w:rsidRPr="009F59BC">
              <w:rPr>
                <w:bCs/>
                <w:sz w:val="22"/>
                <w:szCs w:val="22"/>
                <w:lang w:val="en-US"/>
              </w:rPr>
              <w:t>, начини апликације</w:t>
            </w:r>
            <w:r w:rsidR="00AB4022">
              <w:rPr>
                <w:bCs/>
                <w:sz w:val="22"/>
                <w:szCs w:val="22"/>
              </w:rPr>
              <w:t xml:space="preserve"> </w:t>
            </w:r>
            <w:r w:rsidRPr="009F59BC">
              <w:rPr>
                <w:bCs/>
                <w:sz w:val="22"/>
                <w:szCs w:val="22"/>
                <w:lang w:val="en-US"/>
              </w:rPr>
              <w:t>премаза за екстеријер, специјални системи наношења, одржавање дрвета, уклањање старих премаза, деколорација дрвета и премаза,</w:t>
            </w:r>
            <w:r w:rsidR="007225A3">
              <w:rPr>
                <w:bCs/>
                <w:sz w:val="22"/>
                <w:szCs w:val="22"/>
              </w:rPr>
              <w:t xml:space="preserve"> </w:t>
            </w:r>
            <w:r w:rsidRPr="009F59BC">
              <w:rPr>
                <w:bCs/>
                <w:sz w:val="22"/>
                <w:szCs w:val="22"/>
                <w:lang w:val="en-US"/>
              </w:rPr>
              <w:t>деградација премаза, грешке обраде, трајност површинске обраде производа у екстеријеру.</w:t>
            </w:r>
          </w:p>
          <w:p w:rsidR="001A43B6" w:rsidRPr="009F59BC" w:rsidRDefault="009F59BC" w:rsidP="009F59BC">
            <w:pPr>
              <w:rPr>
                <w:bCs/>
                <w:sz w:val="22"/>
                <w:szCs w:val="22"/>
                <w:lang w:val="en-US"/>
              </w:rPr>
            </w:pPr>
            <w:r w:rsidRPr="009F59BC">
              <w:rPr>
                <w:bCs/>
                <w:i/>
                <w:iCs/>
                <w:sz w:val="22"/>
                <w:szCs w:val="22"/>
                <w:lang w:val="en-US"/>
              </w:rPr>
              <w:t xml:space="preserve">Практична настава: </w:t>
            </w:r>
            <w:r w:rsidRPr="009F59BC">
              <w:rPr>
                <w:bCs/>
                <w:sz w:val="22"/>
                <w:szCs w:val="22"/>
                <w:lang w:val="en-US"/>
              </w:rPr>
              <w:t>Испитивање отпорности</w:t>
            </w:r>
            <w:r w:rsidR="00AB4022">
              <w:rPr>
                <w:bCs/>
                <w:sz w:val="22"/>
                <w:szCs w:val="22"/>
              </w:rPr>
              <w:t xml:space="preserve"> премаза</w:t>
            </w:r>
            <w:r w:rsidRPr="009F59BC">
              <w:rPr>
                <w:bCs/>
                <w:sz w:val="22"/>
                <w:szCs w:val="22"/>
                <w:lang w:val="en-US"/>
              </w:rPr>
              <w:t xml:space="preserve"> на деловање климе – стандардни методи, поступак и</w:t>
            </w:r>
            <w:r w:rsidR="00AB4022">
              <w:rPr>
                <w:bCs/>
                <w:sz w:val="22"/>
                <w:szCs w:val="22"/>
              </w:rPr>
              <w:t xml:space="preserve"> </w:t>
            </w:r>
            <w:r w:rsidRPr="009F59BC">
              <w:rPr>
                <w:bCs/>
                <w:sz w:val="22"/>
                <w:szCs w:val="22"/>
                <w:lang w:val="en-US"/>
              </w:rPr>
              <w:t>апаратура, ис</w:t>
            </w:r>
            <w:r>
              <w:rPr>
                <w:bCs/>
                <w:sz w:val="22"/>
                <w:szCs w:val="22"/>
              </w:rPr>
              <w:t>п</w:t>
            </w:r>
            <w:r w:rsidRPr="009F59BC">
              <w:rPr>
                <w:bCs/>
                <w:sz w:val="22"/>
                <w:szCs w:val="22"/>
                <w:lang w:val="en-US"/>
              </w:rPr>
              <w:t>итивање премаза намењених спољашњој употреби – убрзани поступак, испитивање у</w:t>
            </w:r>
            <w:r w:rsidR="00AB4022">
              <w:rPr>
                <w:bCs/>
                <w:sz w:val="22"/>
                <w:szCs w:val="22"/>
              </w:rPr>
              <w:t xml:space="preserve"> </w:t>
            </w:r>
            <w:r w:rsidRPr="009F59BC">
              <w:rPr>
                <w:bCs/>
                <w:sz w:val="22"/>
                <w:szCs w:val="22"/>
                <w:lang w:val="en-US"/>
              </w:rPr>
              <w:t>коморама, вредновање резултата, одре</w:t>
            </w:r>
            <w:r>
              <w:rPr>
                <w:bCs/>
                <w:sz w:val="22"/>
                <w:szCs w:val="22"/>
              </w:rPr>
              <w:t>ђ</w:t>
            </w:r>
            <w:r w:rsidRPr="009F59BC">
              <w:rPr>
                <w:bCs/>
                <w:sz w:val="22"/>
                <w:szCs w:val="22"/>
                <w:lang w:val="en-US"/>
              </w:rPr>
              <w:t>ивање отпорности на деловање ватре, одређивање</w:t>
            </w:r>
            <w:r w:rsidR="00AB4022">
              <w:rPr>
                <w:bCs/>
                <w:sz w:val="22"/>
                <w:szCs w:val="22"/>
              </w:rPr>
              <w:t xml:space="preserve"> </w:t>
            </w:r>
            <w:r w:rsidRPr="009F59BC">
              <w:rPr>
                <w:bCs/>
                <w:sz w:val="22"/>
                <w:szCs w:val="22"/>
                <w:lang w:val="en-US"/>
              </w:rPr>
              <w:t>унутрашњих напрезања</w:t>
            </w:r>
            <w:r w:rsidRPr="009F59BC">
              <w:rPr>
                <w:bCs/>
                <w:sz w:val="22"/>
                <w:szCs w:val="22"/>
                <w:lang w:val="sr-Cyrl-CS"/>
              </w:rPr>
              <w:t xml:space="preserve"> </w:t>
            </w:r>
          </w:p>
        </w:tc>
      </w:tr>
      <w:tr w:rsidR="001A43B6" w:rsidTr="00B30CC4">
        <w:tc>
          <w:tcPr>
            <w:tcW w:w="9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1A43B6" w:rsidP="00B30CC4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 xml:space="preserve">Литература </w:t>
            </w:r>
          </w:p>
          <w:p w:rsidR="00E57C85" w:rsidRDefault="00E57C85" w:rsidP="00E57C85">
            <w:pPr>
              <w:widowControl/>
              <w:rPr>
                <w:rFonts w:ascii="TimesNewRomanPSMT" w:eastAsia="Calibri" w:hAnsi="TimesNewRomanPSMT" w:cs="TimesNewRomanPSMT"/>
                <w:lang w:val="en-US" w:eastAsia="en-US"/>
              </w:rPr>
            </w:pPr>
            <w:r>
              <w:rPr>
                <w:rFonts w:ascii="TimesNewRomanPSMT" w:eastAsia="Calibri" w:hAnsi="TimesNewRomanPSMT" w:cs="TimesNewRomanPSMT"/>
                <w:lang w:val="en-US" w:eastAsia="en-US"/>
              </w:rPr>
              <w:t xml:space="preserve">1. М. Јаић, Р. Живановић: </w:t>
            </w:r>
            <w:r>
              <w:rPr>
                <w:rFonts w:ascii="TimesNewRomanPS-BoldMT" w:eastAsia="Calibri" w:hAnsi="TimesNewRomanPS-BoldMT" w:cs="TimesNewRomanPS-BoldMT"/>
                <w:b/>
                <w:bCs/>
                <w:lang w:val="en-US" w:eastAsia="en-US"/>
              </w:rPr>
              <w:t xml:space="preserve">ПОВРШИНСКА ОБРАДА ДРВЕТА </w:t>
            </w:r>
            <w:r>
              <w:rPr>
                <w:rFonts w:ascii="TimesNewRomanPSMT" w:eastAsia="Calibri" w:hAnsi="TimesNewRomanPSMT" w:cs="TimesNewRomanPSMT"/>
                <w:lang w:val="en-US" w:eastAsia="en-US"/>
              </w:rPr>
              <w:t>: Својства материјала,</w:t>
            </w:r>
          </w:p>
          <w:p w:rsidR="00E57C85" w:rsidRDefault="00E57C85" w:rsidP="00E57C85">
            <w:pPr>
              <w:widowControl/>
              <w:rPr>
                <w:rFonts w:ascii="TimesNewRomanPSMT" w:eastAsia="Calibri" w:hAnsi="TimesNewRomanPSMT" w:cs="TimesNewRomanPSMT"/>
                <w:lang w:val="en-US" w:eastAsia="en-US"/>
              </w:rPr>
            </w:pPr>
            <w:r>
              <w:rPr>
                <w:rFonts w:ascii="TimesNewRomanPSMT" w:eastAsia="Calibri" w:hAnsi="TimesNewRomanPSMT" w:cs="TimesNewRomanPSMT"/>
                <w:lang w:val="en-US" w:eastAsia="en-US"/>
              </w:rPr>
              <w:t>Квалитет обраде. СИТЗАМС, Београд, 1993.</w:t>
            </w:r>
          </w:p>
          <w:p w:rsidR="00E57C85" w:rsidRDefault="00E57C85" w:rsidP="00E57C85">
            <w:pPr>
              <w:widowControl/>
              <w:rPr>
                <w:rFonts w:ascii="TimesNewRomanPSMT" w:eastAsia="Calibri" w:hAnsi="TimesNewRomanPSMT" w:cs="TimesNewRomanPSMT"/>
                <w:lang w:val="en-US" w:eastAsia="en-US"/>
              </w:rPr>
            </w:pPr>
            <w:r>
              <w:rPr>
                <w:rFonts w:ascii="TimesNewRomanPSMT" w:eastAsia="Calibri" w:hAnsi="TimesNewRomanPSMT" w:cs="TimesNewRomanPSMT"/>
                <w:lang w:val="en-US" w:eastAsia="en-US"/>
              </w:rPr>
              <w:t xml:space="preserve">2. М. Јаић, Р. Живановић Трбојевић: </w:t>
            </w:r>
            <w:r>
              <w:rPr>
                <w:rFonts w:ascii="TimesNewRomanPS-BoldMT" w:eastAsia="Calibri" w:hAnsi="TimesNewRomanPS-BoldMT" w:cs="TimesNewRomanPS-BoldMT"/>
                <w:b/>
                <w:bCs/>
                <w:lang w:val="en-US" w:eastAsia="en-US"/>
              </w:rPr>
              <w:t xml:space="preserve">ПОВРШИНСКА ОБРАДА ДРВЕТА </w:t>
            </w:r>
            <w:r>
              <w:rPr>
                <w:rFonts w:ascii="TimesNewRomanPSMT" w:eastAsia="Calibri" w:hAnsi="TimesNewRomanPSMT" w:cs="TimesNewRomanPSMT"/>
                <w:lang w:val="en-US" w:eastAsia="en-US"/>
              </w:rPr>
              <w:t>: Теоријске основе,</w:t>
            </w:r>
          </w:p>
          <w:p w:rsidR="00E57C85" w:rsidRDefault="00E57C85" w:rsidP="00E57C85">
            <w:pPr>
              <w:widowControl/>
              <w:rPr>
                <w:rFonts w:ascii="TimesNewRomanPSMT" w:eastAsia="Calibri" w:hAnsi="TimesNewRomanPSMT" w:cs="TimesNewRomanPSMT"/>
                <w:lang w:val="en-US" w:eastAsia="en-US"/>
              </w:rPr>
            </w:pPr>
            <w:r>
              <w:rPr>
                <w:rFonts w:ascii="TimesNewRomanPSMT" w:eastAsia="Calibri" w:hAnsi="TimesNewRomanPSMT" w:cs="TimesNewRomanPSMT"/>
                <w:lang w:val="en-US" w:eastAsia="en-US"/>
              </w:rPr>
              <w:t>Технолошки процеси. Ауторско издање, Београд, 2000.</w:t>
            </w:r>
          </w:p>
          <w:p w:rsidR="00E57C85" w:rsidRDefault="00E57C85" w:rsidP="00E57C85">
            <w:pPr>
              <w:widowControl/>
              <w:rPr>
                <w:rFonts w:ascii="TimesNewRomanPSMT" w:eastAsia="Calibri" w:hAnsi="TimesNewRomanPSMT" w:cs="TimesNewRomanPSMT"/>
                <w:lang w:val="en-US" w:eastAsia="en-US"/>
              </w:rPr>
            </w:pPr>
            <w:r>
              <w:rPr>
                <w:rFonts w:ascii="TimesNewRomanPSMT" w:eastAsia="Calibri" w:hAnsi="TimesNewRomanPSMT" w:cs="TimesNewRomanPSMT"/>
                <w:lang w:val="en-US" w:eastAsia="en-US"/>
              </w:rPr>
              <w:t xml:space="preserve">3. М. Јаић: </w:t>
            </w:r>
            <w:r>
              <w:rPr>
                <w:rFonts w:ascii="TimesNewRomanPS-BoldMT" w:eastAsia="Calibri" w:hAnsi="TimesNewRomanPS-BoldMT" w:cs="TimesNewRomanPS-BoldMT"/>
                <w:b/>
                <w:bCs/>
                <w:lang w:val="en-US" w:eastAsia="en-US"/>
              </w:rPr>
              <w:t>Приручник за лакирање дрвета</w:t>
            </w:r>
            <w:r>
              <w:rPr>
                <w:rFonts w:ascii="TimesNewRomanPSMT" w:eastAsia="Calibri" w:hAnsi="TimesNewRomanPSMT" w:cs="TimesNewRomanPSMT"/>
                <w:lang w:val="en-US" w:eastAsia="en-US"/>
              </w:rPr>
              <w:t>. Beoicla, Београд, 2001.</w:t>
            </w:r>
          </w:p>
          <w:p w:rsidR="00E57C85" w:rsidRDefault="00E57C85" w:rsidP="00E57C85">
            <w:pPr>
              <w:widowControl/>
              <w:rPr>
                <w:rFonts w:ascii="TimesNewRomanPS-BoldMT" w:eastAsia="Calibri" w:hAnsi="TimesNewRomanPS-BoldMT" w:cs="TimesNewRomanPS-BoldMT"/>
                <w:b/>
                <w:bCs/>
                <w:lang w:val="en-US" w:eastAsia="en-US"/>
              </w:rPr>
            </w:pPr>
            <w:r>
              <w:rPr>
                <w:rFonts w:ascii="TimesNewRomanPSMT" w:eastAsia="Calibri" w:hAnsi="TimesNewRomanPSMT" w:cs="TimesNewRomanPSMT"/>
                <w:lang w:val="en-US" w:eastAsia="en-US"/>
              </w:rPr>
              <w:t xml:space="preserve">4. Више аутора: </w:t>
            </w:r>
            <w:r>
              <w:rPr>
                <w:rFonts w:ascii="TimesNewRomanPS-BoldMT" w:eastAsia="Calibri" w:hAnsi="TimesNewRomanPS-BoldMT" w:cs="TimesNewRomanPS-BoldMT"/>
                <w:b/>
                <w:bCs/>
                <w:lang w:val="en-US" w:eastAsia="en-US"/>
              </w:rPr>
              <w:t>Унапређење технологија дрвета у корелацији са својствима хемијских</w:t>
            </w:r>
          </w:p>
          <w:p w:rsidR="00E57C85" w:rsidRDefault="00E57C85" w:rsidP="00E57C85">
            <w:pPr>
              <w:widowControl/>
              <w:rPr>
                <w:rFonts w:ascii="TimesNewRomanPSMT" w:eastAsia="Calibri" w:hAnsi="TimesNewRomanPSMT" w:cs="TimesNewRomanPSMT"/>
                <w:lang w:val="en-US" w:eastAsia="en-US"/>
              </w:rPr>
            </w:pPr>
            <w:r>
              <w:rPr>
                <w:rFonts w:ascii="TimesNewRomanPS-BoldMT" w:eastAsia="Calibri" w:hAnsi="TimesNewRomanPS-BoldMT" w:cs="TimesNewRomanPS-BoldMT"/>
                <w:b/>
                <w:bCs/>
                <w:lang w:val="en-US" w:eastAsia="en-US"/>
              </w:rPr>
              <w:t>конституената дрвета</w:t>
            </w:r>
            <w:r>
              <w:rPr>
                <w:rFonts w:ascii="TimesNewRomanPSMT" w:eastAsia="Calibri" w:hAnsi="TimesNewRomanPSMT" w:cs="TimesNewRomanPSMT"/>
                <w:lang w:val="en-US" w:eastAsia="en-US"/>
              </w:rPr>
              <w:t>, Шумарски факултет, Београд, 1995.</w:t>
            </w:r>
          </w:p>
          <w:p w:rsidR="00E57C85" w:rsidRDefault="00E57C85" w:rsidP="00E57C85">
            <w:pPr>
              <w:widowControl/>
              <w:rPr>
                <w:rFonts w:ascii="TimesNewRomanPSMT" w:eastAsia="Calibri" w:hAnsi="TimesNewRomanPSMT" w:cs="TimesNewRomanPSMT"/>
                <w:lang w:val="en-US" w:eastAsia="en-US"/>
              </w:rPr>
            </w:pPr>
            <w:r>
              <w:rPr>
                <w:rFonts w:ascii="TimesNewRomanPSMT" w:eastAsia="Calibri" w:hAnsi="TimesNewRomanPSMT" w:cs="TimesNewRomanPSMT"/>
                <w:lang w:val="en-US" w:eastAsia="en-US"/>
              </w:rPr>
              <w:t xml:space="preserve">5. </w:t>
            </w:r>
            <w:r>
              <w:rPr>
                <w:rFonts w:ascii="TimesNewRomanPS-BoldMT" w:eastAsia="Calibri" w:hAnsi="TimesNewRomanPS-BoldMT" w:cs="TimesNewRomanPS-BoldMT"/>
                <w:b/>
                <w:bCs/>
                <w:lang w:val="en-US" w:eastAsia="en-US"/>
              </w:rPr>
              <w:t xml:space="preserve">Приручник HYDROPLUS </w:t>
            </w:r>
            <w:r>
              <w:rPr>
                <w:rFonts w:ascii="TimesNewRomanPSMT" w:eastAsia="Calibri" w:hAnsi="TimesNewRomanPSMT" w:cs="TimesNewRomanPSMT"/>
                <w:lang w:val="en-US" w:eastAsia="en-US"/>
              </w:rPr>
              <w:t>за премазе на воденој бази. Голда, Београд, 2002.</w:t>
            </w:r>
          </w:p>
          <w:p w:rsidR="00002A37" w:rsidRDefault="00E57C85" w:rsidP="00E57C85">
            <w:pPr>
              <w:widowControl/>
              <w:rPr>
                <w:rFonts w:ascii="TimesNewRomanPSMT" w:eastAsia="Calibri" w:hAnsi="TimesNewRomanPSMT" w:cs="TimesNewRomanPSMT"/>
                <w:lang w:eastAsia="en-US"/>
              </w:rPr>
            </w:pPr>
            <w:r>
              <w:rPr>
                <w:rFonts w:ascii="TimesNewRomanPSMT" w:eastAsia="Calibri" w:hAnsi="TimesNewRomanPSMT" w:cs="TimesNewRomanPSMT"/>
                <w:lang w:val="en-US" w:eastAsia="en-US"/>
              </w:rPr>
              <w:t xml:space="preserve">6. </w:t>
            </w:r>
            <w:r w:rsidR="00002A37" w:rsidRPr="00002A37">
              <w:rPr>
                <w:rFonts w:ascii="TimesNewRomanPSMT" w:eastAsia="Calibri" w:hAnsi="TimesNewRomanPSMT" w:cs="TimesNewRomanPSMT"/>
                <w:lang w:val="en-US" w:eastAsia="en-US"/>
              </w:rPr>
              <w:t>P. Nanetti: Lackrohstoffkunde. Vincentz Verlag, Hannover, 2000.</w:t>
            </w:r>
          </w:p>
          <w:p w:rsidR="00002A37" w:rsidRDefault="00E57C85" w:rsidP="00E57C85">
            <w:pPr>
              <w:widowControl/>
              <w:rPr>
                <w:rFonts w:ascii="TimesNewRomanPSMT" w:eastAsia="Calibri" w:hAnsi="TimesNewRomanPSMT" w:cs="TimesNewRomanPSMT"/>
                <w:lang w:eastAsia="en-US"/>
              </w:rPr>
            </w:pPr>
            <w:r>
              <w:rPr>
                <w:rFonts w:ascii="TimesNewRomanPSMT" w:eastAsia="Calibri" w:hAnsi="TimesNewRomanPSMT" w:cs="TimesNewRomanPSMT"/>
                <w:lang w:val="en-US" w:eastAsia="en-US"/>
              </w:rPr>
              <w:t xml:space="preserve">7. </w:t>
            </w:r>
            <w:r w:rsidR="00002A37" w:rsidRPr="00002A37">
              <w:rPr>
                <w:rFonts w:ascii="TimesNewRomanPSMT" w:eastAsia="Calibri" w:hAnsi="TimesNewRomanPSMT" w:cs="TimesNewRomanPSMT"/>
                <w:lang w:val="en-US" w:eastAsia="en-US"/>
              </w:rPr>
              <w:t>T. Brock, M. Groteklaes, P. Mischke: Lehrbuch der Lacktechnologie. Vincentz Verlag, 1998.</w:t>
            </w:r>
          </w:p>
          <w:p w:rsidR="00002A37" w:rsidRDefault="00E57C85" w:rsidP="00E57C85">
            <w:pPr>
              <w:widowControl/>
              <w:rPr>
                <w:rFonts w:ascii="TimesNewRomanPSMT" w:eastAsia="Calibri" w:hAnsi="TimesNewRomanPSMT" w:cs="TimesNewRomanPSMT"/>
                <w:lang w:eastAsia="en-US"/>
              </w:rPr>
            </w:pPr>
            <w:r>
              <w:rPr>
                <w:rFonts w:ascii="TimesNewRomanPSMT" w:eastAsia="Calibri" w:hAnsi="TimesNewRomanPSMT" w:cs="TimesNewRomanPSMT"/>
                <w:lang w:val="en-US" w:eastAsia="en-US"/>
              </w:rPr>
              <w:t xml:space="preserve">8. </w:t>
            </w:r>
            <w:r w:rsidR="00002A37" w:rsidRPr="00002A37">
              <w:rPr>
                <w:rFonts w:ascii="TimesNewRomanPSMT" w:eastAsia="Calibri" w:hAnsi="TimesNewRomanPSMT" w:cs="TimesNewRomanPSMT"/>
                <w:lang w:val="en-US" w:eastAsia="en-US"/>
              </w:rPr>
              <w:t>A. Goldschmidt, H-J. Streitberger: BASF handbook on Basics of Coating Technology. Vincentz Network, Hannover, 2007.</w:t>
            </w:r>
          </w:p>
          <w:p w:rsidR="00E57C85" w:rsidRDefault="00E57C85" w:rsidP="00E57C85">
            <w:pPr>
              <w:widowControl/>
              <w:rPr>
                <w:rFonts w:ascii="TimesNewRomanPSMT" w:eastAsia="Calibri" w:hAnsi="TimesNewRomanPSMT" w:cs="TimesNewRomanPSMT"/>
                <w:lang w:val="en-US" w:eastAsia="en-US"/>
              </w:rPr>
            </w:pPr>
            <w:r>
              <w:rPr>
                <w:rFonts w:ascii="TimesNewRomanPSMT" w:eastAsia="Calibri" w:hAnsi="TimesNewRomanPSMT" w:cs="TimesNewRomanPSMT"/>
                <w:lang w:val="en-US" w:eastAsia="en-US"/>
              </w:rPr>
              <w:t xml:space="preserve">9. </w:t>
            </w:r>
            <w:r w:rsidR="00002A37" w:rsidRPr="00002A37">
              <w:rPr>
                <w:rFonts w:ascii="TimesNewRomanPSMT" w:eastAsia="Calibri" w:hAnsi="TimesNewRomanPSMT" w:cs="TimesNewRomanPSMT"/>
                <w:lang w:val="en-US" w:eastAsia="en-US"/>
              </w:rPr>
              <w:t>R. S. Williams, M. Knaebe, W. Feist: Finishes for Exterior Wood. FPL, Madison, 1996.</w:t>
            </w:r>
          </w:p>
          <w:p w:rsidR="001A43B6" w:rsidRPr="00002A37" w:rsidRDefault="00E57C85" w:rsidP="00002A37">
            <w:pPr>
              <w:widowControl/>
              <w:rPr>
                <w:rFonts w:ascii="TimesNewRomanPSMT" w:eastAsia="Calibri" w:hAnsi="TimesNewRomanPSMT" w:cs="TimesNewRomanPSMT"/>
                <w:lang w:val="en-US" w:eastAsia="en-US"/>
              </w:rPr>
            </w:pPr>
            <w:r>
              <w:rPr>
                <w:rFonts w:ascii="TimesNewRomanPSMT" w:eastAsia="Calibri" w:hAnsi="TimesNewRomanPSMT" w:cs="TimesNewRomanPSMT"/>
                <w:lang w:val="en-US" w:eastAsia="en-US"/>
              </w:rPr>
              <w:t>10. A</w:t>
            </w:r>
            <w:r w:rsidR="00002A37">
              <w:rPr>
                <w:rFonts w:ascii="TimesNewRomanPSMT" w:eastAsia="Calibri" w:hAnsi="TimesNewRomanPSMT" w:cs="TimesNewRomanPSMT"/>
                <w:lang w:eastAsia="en-US"/>
              </w:rPr>
              <w:t>.</w:t>
            </w:r>
            <w:r>
              <w:rPr>
                <w:rFonts w:ascii="TimesNewRomanPSMT" w:eastAsia="Calibri" w:hAnsi="TimesNewRomanPSMT" w:cs="TimesNewRomanPSMT"/>
                <w:lang w:val="en-US" w:eastAsia="en-US"/>
              </w:rPr>
              <w:t xml:space="preserve"> Brasholz: </w:t>
            </w:r>
            <w:r>
              <w:rPr>
                <w:rFonts w:ascii="TimesNewRomanPS-BoldMT" w:eastAsia="Calibri" w:hAnsi="TimesNewRomanPS-BoldMT" w:cs="TimesNewRomanPS-BoldMT"/>
                <w:b/>
                <w:bCs/>
                <w:lang w:val="en-US" w:eastAsia="en-US"/>
              </w:rPr>
              <w:t>Beschichtungs- und Anstrichschaeden bei Alt- und Neubauten</w:t>
            </w:r>
            <w:r>
              <w:rPr>
                <w:rFonts w:ascii="TimesNewRomanPSMT" w:eastAsia="Calibri" w:hAnsi="TimesNewRomanPSMT" w:cs="TimesNewRomanPSMT"/>
                <w:lang w:val="en-US" w:eastAsia="en-US"/>
              </w:rPr>
              <w:t>. Bauverlag</w:t>
            </w:r>
            <w:r w:rsidR="00002A37">
              <w:rPr>
                <w:rFonts w:ascii="TimesNewRomanPSMT" w:eastAsia="Calibri" w:hAnsi="TimesNewRomanPSMT" w:cs="TimesNewRomanPSMT"/>
                <w:lang w:eastAsia="en-US"/>
              </w:rPr>
              <w:t xml:space="preserve"> </w:t>
            </w:r>
            <w:r>
              <w:rPr>
                <w:rFonts w:ascii="TimesNewRomanPSMT" w:eastAsia="Calibri" w:hAnsi="TimesNewRomanPSMT" w:cs="TimesNewRomanPSMT"/>
                <w:lang w:val="en-US" w:eastAsia="en-US"/>
              </w:rPr>
              <w:t xml:space="preserve">GmbH, </w:t>
            </w:r>
            <w:r>
              <w:rPr>
                <w:rFonts w:ascii="TimesNewRomanPSMT" w:eastAsia="Calibri" w:hAnsi="TimesNewRomanPSMT" w:cs="TimesNewRomanPSMT"/>
                <w:lang w:val="en-US" w:eastAsia="en-US"/>
              </w:rPr>
              <w:lastRenderedPageBreak/>
              <w:t>Wiesbaden und Berlin, 1990.</w:t>
            </w:r>
          </w:p>
        </w:tc>
      </w:tr>
      <w:tr w:rsidR="001A43B6" w:rsidTr="00B30CC4">
        <w:tc>
          <w:tcPr>
            <w:tcW w:w="8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1A43B6" w:rsidP="00B30CC4">
            <w:pPr>
              <w:rPr>
                <w:bCs/>
                <w:lang w:val="en-US"/>
              </w:rPr>
            </w:pPr>
            <w:r>
              <w:rPr>
                <w:bCs/>
                <w:lang w:val="sr-Cyrl-CS"/>
              </w:rPr>
              <w:lastRenderedPageBreak/>
              <w:t xml:space="preserve">Број часова </w:t>
            </w:r>
            <w:r>
              <w:rPr>
                <w:lang w:val="sr-Cyrl-CS"/>
              </w:rPr>
              <w:t xml:space="preserve"> активне наставе</w:t>
            </w:r>
          </w:p>
        </w:tc>
        <w:tc>
          <w:tcPr>
            <w:tcW w:w="16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1A43B6" w:rsidP="00B30CC4">
            <w:pPr>
              <w:rPr>
                <w:lang w:val="en-US"/>
              </w:rPr>
            </w:pPr>
            <w:r>
              <w:rPr>
                <w:lang w:val="en-US"/>
              </w:rPr>
              <w:t>Остали часови</w:t>
            </w:r>
          </w:p>
          <w:p w:rsidR="001A43B6" w:rsidRDefault="001A43B6" w:rsidP="00B30CC4">
            <w:pPr>
              <w:rPr>
                <w:bCs/>
                <w:lang w:val="sr-Cyrl-CS"/>
              </w:rPr>
            </w:pPr>
          </w:p>
        </w:tc>
      </w:tr>
      <w:tr w:rsidR="001A43B6" w:rsidTr="00B30CC4">
        <w:trPr>
          <w:trHeight w:val="436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1A43B6" w:rsidP="00B30CC4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Предавања:</w:t>
            </w:r>
          </w:p>
          <w:p w:rsidR="001A43B6" w:rsidRDefault="00E57C85" w:rsidP="00B30CC4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B6" w:rsidRDefault="001A43B6" w:rsidP="00B30CC4">
            <w:pPr>
              <w:rPr>
                <w:bCs/>
                <w:lang w:val="sr-Cyrl-CS"/>
              </w:rPr>
            </w:pPr>
            <w:r>
              <w:rPr>
                <w:bCs/>
                <w:lang w:val="en-US"/>
              </w:rPr>
              <w:t>Вежбе:</w:t>
            </w:r>
          </w:p>
          <w:p w:rsidR="001A43B6" w:rsidRDefault="00CE2E80" w:rsidP="00B30CC4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0</w:t>
            </w:r>
          </w:p>
        </w:tc>
        <w:tc>
          <w:tcPr>
            <w:tcW w:w="3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1A43B6" w:rsidP="00B30CC4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Други облици наставе:</w:t>
            </w:r>
          </w:p>
          <w:p w:rsidR="001A43B6" w:rsidRDefault="00AB4022" w:rsidP="00B30CC4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лаб. веж. -3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Pr="00CE2E80" w:rsidRDefault="001A43B6" w:rsidP="00B30CC4">
            <w:pPr>
              <w:rPr>
                <w:bCs/>
              </w:rPr>
            </w:pPr>
            <w:r>
              <w:rPr>
                <w:bCs/>
                <w:lang w:val="en-US"/>
              </w:rPr>
              <w:t xml:space="preserve">Студијски истраживачки рад: </w:t>
            </w:r>
            <w:r w:rsidR="00CE2E80">
              <w:rPr>
                <w:bCs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3B6" w:rsidRDefault="001A43B6" w:rsidP="00B30CC4">
            <w:pPr>
              <w:widowControl/>
              <w:autoSpaceDE/>
              <w:autoSpaceDN/>
              <w:adjustRightInd/>
              <w:rPr>
                <w:bCs/>
                <w:lang w:val="sr-Cyrl-CS"/>
              </w:rPr>
            </w:pPr>
          </w:p>
        </w:tc>
      </w:tr>
      <w:tr w:rsidR="001A43B6" w:rsidTr="00B30CC4">
        <w:tc>
          <w:tcPr>
            <w:tcW w:w="9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1A43B6" w:rsidP="00B30CC4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 xml:space="preserve">Методе извођења наставе:предавања, вежбе: </w:t>
            </w:r>
          </w:p>
        </w:tc>
      </w:tr>
      <w:tr w:rsidR="001A43B6" w:rsidTr="00B30CC4">
        <w:tc>
          <w:tcPr>
            <w:tcW w:w="9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1A43B6" w:rsidP="00B30CC4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sr-Cyrl-CS"/>
              </w:rPr>
              <w:t>Оцена  знања (максимални број поена 100)</w:t>
            </w:r>
          </w:p>
        </w:tc>
      </w:tr>
      <w:tr w:rsidR="001A43B6" w:rsidTr="00B30CC4">
        <w:tc>
          <w:tcPr>
            <w:tcW w:w="3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1A43B6" w:rsidP="00B30CC4">
            <w:pPr>
              <w:rPr>
                <w:lang w:val="sr-Cyrl-CS"/>
              </w:rPr>
            </w:pPr>
            <w:r>
              <w:rPr>
                <w:iCs/>
                <w:lang w:val="sr-Cyrl-CS"/>
              </w:rPr>
              <w:t>Предиспитне обавезе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1A43B6" w:rsidP="00B30CC4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поена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1A43B6" w:rsidP="00B30CC4">
            <w:pPr>
              <w:rPr>
                <w:lang w:val="en-US"/>
              </w:rPr>
            </w:pPr>
            <w:r>
              <w:rPr>
                <w:lang w:val="en-US"/>
              </w:rPr>
              <w:t xml:space="preserve">Завршни испит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1A43B6" w:rsidP="00B30CC4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поена</w:t>
            </w:r>
          </w:p>
        </w:tc>
      </w:tr>
      <w:tr w:rsidR="001A43B6" w:rsidTr="00B30CC4">
        <w:tc>
          <w:tcPr>
            <w:tcW w:w="3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1A43B6" w:rsidP="00B30CC4">
            <w:pPr>
              <w:rPr>
                <w:i/>
                <w:iCs/>
                <w:lang w:val="sr-Cyrl-CS"/>
              </w:rPr>
            </w:pPr>
            <w:r>
              <w:rPr>
                <w:lang w:val="sr-Cyrl-CS"/>
              </w:rPr>
              <w:t>активност у току предавања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9F59BC" w:rsidP="009F59BC">
            <w:pPr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5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1A43B6" w:rsidP="00B30CC4">
            <w:pPr>
              <w:rPr>
                <w:i/>
                <w:iCs/>
                <w:lang w:val="sr-Cyrl-CS"/>
              </w:rPr>
            </w:pPr>
            <w:r>
              <w:rPr>
                <w:lang w:val="sr-Cyrl-CS"/>
              </w:rPr>
              <w:t>писмени испит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B6" w:rsidRDefault="009F59BC" w:rsidP="009F59BC">
            <w:pPr>
              <w:jc w:val="center"/>
              <w:rPr>
                <w:iCs/>
                <w:lang w:val="sr-Cyrl-CS"/>
              </w:rPr>
            </w:pPr>
            <w:r>
              <w:rPr>
                <w:iCs/>
                <w:lang w:val="sr-Cyrl-CS"/>
              </w:rPr>
              <w:t>40</w:t>
            </w:r>
          </w:p>
        </w:tc>
      </w:tr>
      <w:tr w:rsidR="001A43B6" w:rsidTr="00B30CC4">
        <w:tc>
          <w:tcPr>
            <w:tcW w:w="3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1A43B6" w:rsidP="00B30CC4">
            <w:pPr>
              <w:rPr>
                <w:i/>
                <w:iCs/>
                <w:lang w:val="sr-Cyrl-CS"/>
              </w:rPr>
            </w:pPr>
            <w:r>
              <w:rPr>
                <w:lang w:val="sr-Cyrl-CS"/>
              </w:rPr>
              <w:t>практична настава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1A43B6" w:rsidP="009F59BC">
            <w:pPr>
              <w:jc w:val="center"/>
              <w:rPr>
                <w:bCs/>
                <w:lang w:val="sr-Cyrl-CS"/>
              </w:rPr>
            </w:pP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1A43B6" w:rsidP="00B30CC4">
            <w:pPr>
              <w:rPr>
                <w:i/>
                <w:iCs/>
                <w:lang w:val="sr-Cyrl-CS"/>
              </w:rPr>
            </w:pPr>
            <w:r>
              <w:rPr>
                <w:lang w:val="sr-Cyrl-CS"/>
              </w:rPr>
              <w:t>усмени испт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1A43B6" w:rsidP="009F59BC">
            <w:pPr>
              <w:jc w:val="center"/>
              <w:rPr>
                <w:iCs/>
                <w:lang w:val="sr-Cyrl-CS"/>
              </w:rPr>
            </w:pPr>
          </w:p>
        </w:tc>
      </w:tr>
      <w:tr w:rsidR="001A43B6" w:rsidTr="00B30CC4">
        <w:tc>
          <w:tcPr>
            <w:tcW w:w="3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1A43B6" w:rsidP="00B30CC4">
            <w:pPr>
              <w:rPr>
                <w:i/>
                <w:iCs/>
                <w:lang w:val="sr-Cyrl-CS"/>
              </w:rPr>
            </w:pPr>
            <w:r>
              <w:rPr>
                <w:lang w:val="sr-Cyrl-CS"/>
              </w:rPr>
              <w:t>колоквијум-и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B6" w:rsidRDefault="009F59BC" w:rsidP="009F59BC">
            <w:pPr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30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1A43B6" w:rsidP="00B30CC4">
            <w:pPr>
              <w:rPr>
                <w:i/>
                <w:iCs/>
                <w:lang w:val="sr-Cyrl-CS"/>
              </w:rPr>
            </w:pPr>
            <w:r>
              <w:rPr>
                <w:i/>
                <w:iCs/>
                <w:lang w:val="sr-Cyrl-CS"/>
              </w:rPr>
              <w:t>..........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B6" w:rsidRDefault="001A43B6" w:rsidP="009F59BC">
            <w:pPr>
              <w:jc w:val="center"/>
              <w:rPr>
                <w:i/>
                <w:iCs/>
                <w:lang w:val="sr-Cyrl-CS"/>
              </w:rPr>
            </w:pPr>
          </w:p>
        </w:tc>
      </w:tr>
      <w:tr w:rsidR="001A43B6" w:rsidTr="00B30CC4">
        <w:tc>
          <w:tcPr>
            <w:tcW w:w="3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1A43B6" w:rsidP="00B30CC4">
            <w:pPr>
              <w:rPr>
                <w:lang w:val="sr-Cyrl-CS"/>
              </w:rPr>
            </w:pPr>
            <w:r>
              <w:rPr>
                <w:lang w:val="sr-Cyrl-CS"/>
              </w:rPr>
              <w:t>семинар-и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9F59BC" w:rsidP="009F59BC">
            <w:pPr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25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B6" w:rsidRDefault="001A43B6" w:rsidP="00B30CC4">
            <w:pPr>
              <w:rPr>
                <w:i/>
                <w:iCs/>
                <w:lang w:val="sr-Cyrl-C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B6" w:rsidRDefault="001A43B6" w:rsidP="009F59BC">
            <w:pPr>
              <w:jc w:val="center"/>
              <w:rPr>
                <w:i/>
                <w:iCs/>
                <w:lang w:val="sr-Cyrl-CS"/>
              </w:rPr>
            </w:pPr>
          </w:p>
        </w:tc>
      </w:tr>
    </w:tbl>
    <w:p w:rsidR="001A43B6" w:rsidRPr="001A43B6" w:rsidRDefault="001A43B6"/>
    <w:sectPr w:rsidR="001A43B6" w:rsidRPr="001A43B6" w:rsidSect="00B9317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imesNewRomanPSMT">
    <w:altName w:val="Arial Unicode MS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A64145"/>
    <w:rsid w:val="00002A37"/>
    <w:rsid w:val="000377B0"/>
    <w:rsid w:val="000677C0"/>
    <w:rsid w:val="00107766"/>
    <w:rsid w:val="0011016F"/>
    <w:rsid w:val="001A43B6"/>
    <w:rsid w:val="001C4FD0"/>
    <w:rsid w:val="0039356A"/>
    <w:rsid w:val="007225A3"/>
    <w:rsid w:val="009F59BC"/>
    <w:rsid w:val="00A12F9F"/>
    <w:rsid w:val="00A64145"/>
    <w:rsid w:val="00AB4022"/>
    <w:rsid w:val="00B30CC4"/>
    <w:rsid w:val="00B93179"/>
    <w:rsid w:val="00CE2E80"/>
    <w:rsid w:val="00D56CF9"/>
    <w:rsid w:val="00D80C33"/>
    <w:rsid w:val="00E57C85"/>
    <w:rsid w:val="00FD0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14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A6414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776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1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../Tabele%209.1%20MASTER%20TMP/KNJIGA%20SARADNIKA%20Word/obrazac%2091Tanja%20Palija.doc" TargetMode="External"/><Relationship Id="rId4" Type="http://schemas.openxmlformats.org/officeDocument/2006/relationships/hyperlink" Target="../Tabele%209.1%20MASTER%20TMP/obrazac%2091%20Milan%20Jaic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Korisnik</cp:lastModifiedBy>
  <cp:revision>8</cp:revision>
  <dcterms:created xsi:type="dcterms:W3CDTF">2013-02-13T21:14:00Z</dcterms:created>
  <dcterms:modified xsi:type="dcterms:W3CDTF">2013-10-06T13:12:00Z</dcterms:modified>
</cp:coreProperties>
</file>