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E56648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856E00">
      <w:r w:rsidRPr="00856E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C72DEF" w:rsidRPr="00C72DEF">
                    <w:rPr>
                      <w:rFonts w:ascii="Calibri" w:hAnsi="Calibri" w:cs="Calibri"/>
                      <w:color w:val="000000"/>
                    </w:rPr>
                    <w:t>12801,723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85074C">
                    <w:rPr>
                      <w:rFonts w:cstheme="minorHAnsi"/>
                    </w:rPr>
                    <w:t>2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856E0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9D7707" w:rsidRDefault="008B75A9" w:rsidP="008B75A9">
                        <w:pPr>
                          <w:rPr>
                            <w:rFonts w:cstheme="minorHAnsi"/>
                            <w:color w:val="00B050"/>
                          </w:rPr>
                        </w:pPr>
                      </w:p>
                      <w:p w:rsidR="008B75A9" w:rsidRPr="009D7707" w:rsidRDefault="00856E0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 xml:space="preserve">=3657,452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 xml:space="preserve">=2329,913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 xml:space="preserve">=1828,086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 xml:space="preserve">=2077,719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 xml:space="preserve">=2908,551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856E0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56E0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856E00" w:rsidP="00146405">
      <w:r w:rsidRPr="00856E00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9D7707" w:rsidRDefault="008B75A9" w:rsidP="008B75A9">
                        <w:pPr>
                          <w:jc w:val="both"/>
                          <w:rPr>
                            <w:rFonts w:cstheme="minorHAnsi"/>
                            <w:color w:val="FF0000"/>
                          </w:rPr>
                        </w:pPr>
                      </w:p>
                      <w:p w:rsidR="008B75A9" w:rsidRPr="009D7707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=480×0,98×0,92×0,92×4×1,85×0,0011×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=32,41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=480×0,98×0,92×0,92×4×1,85×0,0014×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 xml:space="preserve">=23,57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=480×0,98×0,92×0,92×4×1,85×0,0022×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 xml:space="preserve">=22,22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=480×0,98×0,92×0,92×4×1,85×0,0025×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 xml:space="preserve">=22,09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9D7707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=480×0,98×0,92×0,92×4×1,85×0,0035×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=19,79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56E0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n=2×2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856E00" w:rsidP="00B64061">
      <w:pPr>
        <w:rPr>
          <w:rFonts w:cstheme="minorHAnsi"/>
        </w:rPr>
      </w:pPr>
      <w:r w:rsidRPr="00856E00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3657,452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32,41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=112,84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2329,913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23,57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=98,85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1828,086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22,22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=82,27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2077,719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22,09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=94,05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2908,551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19,79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=146,97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56E0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112,84+98,85+82,27+94,05+146,97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N=1,02→1kom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04.09.2020.</w:t>
            </w:r>
          </w:p>
        </w:tc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bookmarkStart w:id="0" w:name="_GoBack"/>
            <w:bookmarkEnd w:id="0"/>
            <w:r>
              <w:rPr>
                <w:rFonts w:ascii="Cambria Math" w:hAnsi="Cambria Math"/>
              </w:rPr>
              <w:t>Djordje Djuric 22/2017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A2EFC"/>
    <w:rsid w:val="000C2824"/>
    <w:rsid w:val="000C32B7"/>
    <w:rsid w:val="000D315C"/>
    <w:rsid w:val="000E6D40"/>
    <w:rsid w:val="000F1FF4"/>
    <w:rsid w:val="001239D7"/>
    <w:rsid w:val="00146405"/>
    <w:rsid w:val="001E6F76"/>
    <w:rsid w:val="00273ADF"/>
    <w:rsid w:val="002A3658"/>
    <w:rsid w:val="002C3B46"/>
    <w:rsid w:val="002D7C6D"/>
    <w:rsid w:val="00342010"/>
    <w:rsid w:val="00351C5A"/>
    <w:rsid w:val="00363411"/>
    <w:rsid w:val="003D2045"/>
    <w:rsid w:val="00425FCE"/>
    <w:rsid w:val="00427720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3BEA"/>
    <w:rsid w:val="00836F5F"/>
    <w:rsid w:val="0085074C"/>
    <w:rsid w:val="008514FC"/>
    <w:rsid w:val="00856E00"/>
    <w:rsid w:val="008A1FE9"/>
    <w:rsid w:val="008B75A9"/>
    <w:rsid w:val="008D4F16"/>
    <w:rsid w:val="008D577A"/>
    <w:rsid w:val="0090424E"/>
    <w:rsid w:val="00942ACF"/>
    <w:rsid w:val="009A0240"/>
    <w:rsid w:val="009B28B0"/>
    <w:rsid w:val="009D7707"/>
    <w:rsid w:val="009F1604"/>
    <w:rsid w:val="00A02AC5"/>
    <w:rsid w:val="00A21C24"/>
    <w:rsid w:val="00B64061"/>
    <w:rsid w:val="00B66BB3"/>
    <w:rsid w:val="00B87901"/>
    <w:rsid w:val="00B90288"/>
    <w:rsid w:val="00C24409"/>
    <w:rsid w:val="00C72DEF"/>
    <w:rsid w:val="00CA5C7B"/>
    <w:rsid w:val="00CA6214"/>
    <w:rsid w:val="00CF0E9E"/>
    <w:rsid w:val="00D42066"/>
    <w:rsid w:val="00DF376D"/>
    <w:rsid w:val="00DF4337"/>
    <w:rsid w:val="00E44BDA"/>
    <w:rsid w:val="00E56648"/>
    <w:rsid w:val="00EA4C7F"/>
    <w:rsid w:val="00EB528F"/>
    <w:rsid w:val="00ED11D5"/>
    <w:rsid w:val="00ED3859"/>
    <w:rsid w:val="00EF2A28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412F-5C12-4A8E-A3AA-386E9EE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2020-04-10T12:45:00Z</dcterms:created>
  <dcterms:modified xsi:type="dcterms:W3CDTF">2020-04-10T12:45:00Z</dcterms:modified>
</cp:coreProperties>
</file>