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351C5A" w:rsidRDefault="00351C5A" w:rsidP="00664231">
            <w:pPr>
              <w:jc w:val="center"/>
              <w:rPr>
                <w:rFonts w:cstheme="minorHAnsi"/>
                <w:sz w:val="36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 w:rsidR="00690C0B"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146405" w:rsidRPr="008B75A9" w:rsidRDefault="00814215" w:rsidP="00146405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BD3A8E">
      <w:r w:rsidRPr="00BD3A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Odrediti kapacitet i potreban broj sušara za sušenja furnira, ako se u sušari suše različite debljine furnira sa procentualnim učešćem tih debljina kao što je prikazano u tabeli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501"/>
                    <w:gridCol w:w="1499"/>
                    <w:gridCol w:w="1499"/>
                    <w:gridCol w:w="1499"/>
                    <w:gridCol w:w="1500"/>
                    <w:gridCol w:w="1500"/>
                  </w:tblGrid>
                  <w:tr w:rsidR="0045672C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Debljina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1,1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1,4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2,2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2,5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3,5</w:t>
                        </w:r>
                      </w:p>
                    </w:tc>
                  </w:tr>
                  <w:tr w:rsidR="0045672C" w:rsidRPr="00351C5A" w:rsidTr="008B75A9"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B75A9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cstheme="minorHAnsi"/>
                          </w:rPr>
                          <w:t>%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28,57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18,20</w:t>
                        </w:r>
                      </w:p>
                    </w:tc>
                    <w:tc>
                      <w:tcPr>
                        <w:tcW w:w="1510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14,28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16,23</w:t>
                        </w:r>
                      </w:p>
                    </w:tc>
                    <w:tc>
                      <w:tcPr>
                        <w:tcW w:w="1511" w:type="dxa"/>
                        <w:vAlign w:val="center"/>
                      </w:tcPr>
                      <w:p w:rsidR="008B75A9" w:rsidRPr="00351C5A" w:rsidRDefault="00862C18" w:rsidP="008B75A9">
                        <w:pPr>
                          <w:jc w:val="center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22,72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Osnovni parametri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Usvojiti jedne mokre makaze za korisne krpe i jedne mokre makaze za furnirsko platno po svakoj dobijenoj ljuštilici</w:t>
                  </w:r>
                </w:p>
                <w:p w:rsidR="008B75A9" w:rsidRPr="00C13611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  <w:highlight w:val="yellow"/>
                    </w:rPr>
                  </w:pPr>
                  <w:r w:rsidRPr="00C13611">
                    <w:rPr>
                      <w:rFonts w:cstheme="minorHAnsi"/>
                      <w:highlight w:val="yellow"/>
                    </w:rPr>
                    <w:t>Godišnja količina furnira koja dolazi na sušenje M</w:t>
                  </w:r>
                  <w:r w:rsidRPr="00C13611">
                    <w:rPr>
                      <w:rFonts w:cstheme="minorHAnsi"/>
                      <w:highlight w:val="yellow"/>
                      <w:vertAlign w:val="subscript"/>
                    </w:rPr>
                    <w:t>lj</w:t>
                  </w:r>
                  <w:r w:rsidRPr="00C13611">
                    <w:rPr>
                      <w:rFonts w:cstheme="minorHAnsi"/>
                      <w:highlight w:val="yellow"/>
                      <w:vertAlign w:val="superscript"/>
                    </w:rPr>
                    <w:t>III</w:t>
                  </w:r>
                  <w:r w:rsidR="00862C18" w:rsidRPr="00C13611">
                    <w:rPr>
                      <w:rFonts w:cstheme="minorHAnsi"/>
                      <w:highlight w:val="yellow"/>
                    </w:rPr>
                    <w:t xml:space="preserve"> = </w:t>
                  </w:r>
                  <w:r w:rsidR="00C13611" w:rsidRPr="00C13611">
                    <w:rPr>
                      <w:rFonts w:ascii="Calibri" w:hAnsi="Calibri" w:cs="Calibri"/>
                      <w:color w:val="000000"/>
                      <w:highlight w:val="yellow"/>
                    </w:rPr>
                    <w:t>14101.158</w:t>
                  </w:r>
                  <w:r w:rsidRPr="00C13611">
                    <w:rPr>
                      <w:rFonts w:cstheme="minorHAnsi"/>
                      <w:highlight w:val="yellow"/>
                    </w:rPr>
                    <w:t>m</w:t>
                  </w:r>
                  <w:r w:rsidRPr="00C13611">
                    <w:rPr>
                      <w:rFonts w:cstheme="minorHAnsi"/>
                      <w:highlight w:val="yellow"/>
                      <w:vertAlign w:val="superscript"/>
                    </w:rPr>
                    <w:t>3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radnih dana b = 260 dana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Broj smena c = 2 smene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Kapacitet sušare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Sušara je u modularnom sistemu (dužina modula 2 m), sastoji se od ulazne zone, grejne zone, zone hlađenja i izlazne zone</w:t>
                  </w:r>
                  <w:r w:rsidR="00862C18">
                    <w:rPr>
                      <w:rFonts w:cstheme="minorHAnsi"/>
                    </w:rPr>
                    <w:t>, dužine 20</w:t>
                  </w:r>
                  <w:r w:rsidR="00E71E7F">
                    <w:rPr>
                      <w:rFonts w:cstheme="minorHAnsi"/>
                    </w:rPr>
                    <w:t>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</w:rPr>
                  </w:pPr>
                  <w:r w:rsidRPr="008F49EE">
                    <w:rPr>
                      <w:rFonts w:cstheme="minorHAnsi"/>
                      <w:highlight w:val="yellow"/>
                    </w:rPr>
                    <w:t xml:space="preserve">Širina modula </w:t>
                  </w:r>
                  <w:r w:rsidRPr="003A2F44">
                    <w:rPr>
                      <w:rFonts w:cstheme="minorHAnsi"/>
                      <w:highlight w:val="yellow"/>
                    </w:rPr>
                    <w:t>B = 5,2 m</w:t>
                  </w:r>
                </w:p>
                <w:p w:rsidR="008B75A9" w:rsidRPr="003A2F44" w:rsidRDefault="00F01438" w:rsidP="008B75A9">
                  <w:pPr>
                    <w:pStyle w:val="ListParagraph"/>
                    <w:numPr>
                      <w:ilvl w:val="1"/>
                      <w:numId w:val="13"/>
                    </w:numPr>
                    <w:rPr>
                      <w:rFonts w:cstheme="minorHAnsi"/>
                      <w:highlight w:val="yellow"/>
                    </w:rPr>
                  </w:pPr>
                  <w:r w:rsidRPr="003A2F44">
                    <w:rPr>
                      <w:rFonts w:cstheme="minorHAnsi"/>
                      <w:highlight w:val="yellow"/>
                    </w:rPr>
                    <w:t>Broj etaža e</w:t>
                  </w:r>
                  <w:r w:rsidR="008B75A9" w:rsidRPr="003A2F44">
                    <w:rPr>
                      <w:rFonts w:cstheme="minorHAnsi"/>
                      <w:highlight w:val="yellow"/>
                    </w:rPr>
                    <w:t xml:space="preserve"> = </w:t>
                  </w:r>
                  <w:r w:rsidR="00862C18" w:rsidRPr="003A2F44">
                    <w:rPr>
                      <w:rFonts w:cstheme="minorHAnsi"/>
                      <w:highlight w:val="yellow"/>
                    </w:rPr>
                    <w:t>3</w:t>
                  </w:r>
                  <w:r w:rsidR="008B75A9" w:rsidRPr="003A2F44">
                    <w:rPr>
                      <w:rFonts w:cstheme="minorHAnsi"/>
                      <w:highlight w:val="yellow"/>
                    </w:rPr>
                    <w:t xml:space="preserve"> kom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Proračun</w:t>
                  </w:r>
                </w:p>
                <w:p w:rsidR="008B75A9" w:rsidRPr="00351C5A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351C5A">
                    <w:rPr>
                      <w:rFonts w:cstheme="minorHAnsi"/>
                    </w:rPr>
                    <w:t>Količina furnira koja dolazi na sušenje po pojedinim debljinama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45672C" w:rsidRPr="00351C5A" w:rsidTr="008B75A9">
                    <w:trPr>
                      <w:trHeight w:val="2978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351C5A" w:rsidRDefault="00BD3A8E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lj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III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i1..5</m:t>
                                </m:r>
                              </m:sub>
                            </m:sSub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</w:p>
                      <w:p w:rsidR="008B75A9" w:rsidRPr="00351C5A" w:rsidRDefault="00BD3A8E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  <w:highlight w:val="yellow"/>
                              </w:rPr>
                              <m:t>14101.158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×0.2857=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4028.701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BD3A8E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  <w:highlight w:val="yellow"/>
                              </w:rPr>
                              <m:t>14101.158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×0.1820=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2566.411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BD3A8E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  <w:highlight w:val="yellow"/>
                              </w:rPr>
                              <m:t>14101.158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×0.1428=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2013.645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BD3A8E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  <w:highlight w:val="yellow"/>
                              </w:rPr>
                              <m:t>14101.158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×0.1623=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2288.618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BD3A8E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libri"/>
                                <w:color w:val="000000"/>
                                <w:highlight w:val="yellow"/>
                              </w:rPr>
                              <m:t>14101.158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×0.2272=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3203.783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3</m:t>
                                </m:r>
                              </m:sup>
                            </m:sSup>
                          </m:oMath>
                        </m:oMathPara>
                      </w:p>
                      <w:p w:rsidR="008B75A9" w:rsidRPr="00351C5A" w:rsidRDefault="008B75A9" w:rsidP="008B75A9">
                        <w:pPr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351C5A" w:rsidRDefault="00BD3A8E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1..5</m:t>
                              </m:r>
                            </m:sub>
                          </m:sSub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Količina furnira koja dolazi na sušenje za određenu debljinu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BD3A8E" w:rsidP="008B75A9">
                        <w:pPr>
                          <w:rPr>
                            <w:rFonts w:eastAsiaTheme="minorEastAsia" w:cstheme="minorHAnsi"/>
                          </w:rPr>
                        </w:pPr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lj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III</m:t>
                              </m:r>
                            </m:sup>
                          </m:sSubSup>
                        </m:oMath>
                        <w:r w:rsidR="008B75A9" w:rsidRPr="00351C5A">
                          <w:rPr>
                            <w:rFonts w:eastAsiaTheme="minorEastAsia" w:cstheme="minorHAnsi"/>
                          </w:rPr>
                          <w:t xml:space="preserve"> – Godišnje količina furnira koja dolazi na sušenje (m</w:t>
                        </w:r>
                        <w:r w:rsidR="008B75A9" w:rsidRPr="00351C5A">
                          <w:rPr>
                            <w:rFonts w:eastAsiaTheme="minorEastAsia" w:cstheme="minorHAnsi"/>
                            <w:vertAlign w:val="superscript"/>
                          </w:rPr>
                          <w:t>3</w:t>
                        </w:r>
                        <w:r w:rsidR="008B75A9" w:rsidRPr="00351C5A">
                          <w:rPr>
                            <w:rFonts w:eastAsiaTheme="minorEastAsia" w:cstheme="minorHAnsi"/>
                          </w:rPr>
                          <w:t>)</w:t>
                        </w:r>
                      </w:p>
                      <w:p w:rsidR="008B75A9" w:rsidRPr="00351C5A" w:rsidRDefault="008B75A9" w:rsidP="008B75A9">
                        <w:pPr>
                          <w:rPr>
                            <w:rFonts w:cstheme="minorHAnsi"/>
                          </w:rPr>
                        </w:pPr>
                        <w:r w:rsidRPr="00351C5A">
                          <w:rPr>
                            <w:rFonts w:eastAsiaTheme="minorEastAsia" w:cstheme="minorHAnsi"/>
                          </w:rPr>
                          <w:t>Pi1..5 – Procenat godišnje količine furnira za određenu debljinu (%)</w:t>
                        </w:r>
                      </w:p>
                    </w:tc>
                  </w:tr>
                </w:tbl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8B75A9" w:rsidRPr="00351C5A" w:rsidRDefault="008B75A9" w:rsidP="008B75A9">
                  <w:pPr>
                    <w:rPr>
                      <w:rFonts w:cstheme="minorHAnsi"/>
                    </w:rPr>
                  </w:pPr>
                </w:p>
                <w:p w:rsidR="00EB528F" w:rsidRPr="00351C5A" w:rsidRDefault="00EB528F" w:rsidP="008514FC">
                  <w:pPr>
                    <w:spacing w:after="0" w:line="276" w:lineRule="auto"/>
                    <w:jc w:val="both"/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  <w:bookmarkStart w:id="0" w:name="_GoBack"/>
      <w:bookmarkEnd w:id="0"/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90C0B" w:rsidP="002D7C6D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lastRenderedPageBreak/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14215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2</w:t>
            </w:r>
          </w:p>
        </w:tc>
      </w:tr>
    </w:tbl>
    <w:p w:rsidR="00B64061" w:rsidRDefault="00BD3A8E" w:rsidP="00146405">
      <w:r w:rsidRPr="00BD3A8E"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position-horizontal:center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8B75A9" w:rsidRPr="005606AF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cstheme="minorHAnsi"/>
                    </w:rPr>
                  </w:pPr>
                  <w:r w:rsidRPr="005606AF">
                    <w:rPr>
                      <w:rFonts w:cstheme="minorHAnsi"/>
                    </w:rPr>
                    <w:t>Proračun proizvodnosti sušare sa trakom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E71E7F" w:rsidRPr="005606AF" w:rsidTr="008B75A9">
                    <w:trPr>
                      <w:trHeight w:val="8759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=T×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L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×1,85×0,0011×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green"/>
                              </w:rPr>
                              <m:t>44.194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×1,85×0,0014×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4,2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green"/>
                              </w:rPr>
                              <m:t>29.462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×1,85×0,0022×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7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green"/>
                              </w:rPr>
                              <m:t>27.779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×1,85×0,0025×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green"/>
                              </w:rPr>
                              <m:t>27.621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=480×0,98×0,92×0,92×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yellow"/>
                              </w:rPr>
                              <m:t>6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×1,85×0,0035×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highlight w:val="yellow"/>
                                  </w:rPr>
                                  <m:t>20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12,5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highlight w:val="green"/>
                              </w:rPr>
                              <m:t>24.748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-proizvodnost sušare sa trakom za određenu debljinu furnira 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 xml:space="preserve">T-radno vreme smene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min</m:t>
                                </m:r>
                              </m:e>
                            </m:d>
                          </m:oMath>
                        </m:oMathPara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iskorišćenja radnog vremena</m:t>
                            </m:r>
                          </m:oMath>
                        </m:oMathPara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zapunjenosti sušare</m:t>
                            </m:r>
                          </m:oMath>
                        </m:oMathPara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-koeficijent prelaska na drugu debljinu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n-broj listova po poprečnom preseku sušare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(kom)</m:t>
                            </m:r>
                          </m:oMath>
                        </m:oMathPara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trć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-dužina trupčića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-debljina furnira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 xml:space="preserve"> (m)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highlight w:val="yellow"/>
                            </w:rPr>
                            <m:t xml:space="preserve">L-dužina sušare 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highlight w:val="yellow"/>
                                </w:rPr>
                                <m:t>m</m:t>
                              </m:r>
                            </m:e>
                          </m:d>
                        </m:oMath>
                        <w:r w:rsidR="00E511A2" w:rsidRPr="00E511A2">
                          <w:rPr>
                            <w:rFonts w:eastAsiaTheme="minorEastAsia" w:cstheme="minorHAnsi"/>
                            <w:highlight w:val="yellow"/>
                          </w:rPr>
                          <w:t>– usvojeno L=20 m</w:t>
                        </w:r>
                      </w:p>
                      <w:p w:rsidR="008B75A9" w:rsidRPr="005606AF" w:rsidRDefault="00BD3A8E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-vreme prolaska furnira kroz sušaru za određenu debljinu (min)</m:t>
                            </m:r>
                          </m:oMath>
                        </m:oMathPara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n=f×e</m:t>
                            </m:r>
                          </m:oMath>
                        </m:oMathPara>
                      </w:p>
                      <w:p w:rsidR="008B75A9" w:rsidRPr="005606AF" w:rsidRDefault="00F15A2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</w:rPr>
                              <m:t>n=2×3</m:t>
                            </m:r>
                          </m:oMath>
                        </m:oMathPara>
                      </w:p>
                      <w:p w:rsidR="008B75A9" w:rsidRPr="003A2F44" w:rsidRDefault="00F15A2C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n=6 kom</m:t>
                            </m:r>
                          </m:oMath>
                        </m:oMathPara>
                      </w:p>
                      <w:p w:rsidR="003A2F44" w:rsidRPr="003A2F44" w:rsidRDefault="003A2F44" w:rsidP="003A2F44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eastAsiaTheme="minorEastAsia" w:cstheme="minorHAnsi"/>
                            <w:highlight w:val="yellow"/>
                          </w:rPr>
                        </w:pPr>
                        <w:r w:rsidRPr="003A2F44">
                          <w:rPr>
                            <w:rFonts w:eastAsiaTheme="minorEastAsia" w:cstheme="minorHAnsi"/>
                            <w:highlight w:val="yellow"/>
                          </w:rPr>
                          <w:t>f – br. listova u etazi (f=1 za B=5,2)</w:t>
                        </w:r>
                      </w:p>
                      <w:p w:rsidR="003A2F44" w:rsidRPr="003A2F44" w:rsidRDefault="003A2F44" w:rsidP="003A2F44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rFonts w:eastAsiaTheme="minorEastAsia" w:cstheme="minorHAnsi"/>
                            <w:highlight w:val="yellow"/>
                          </w:rPr>
                        </w:pPr>
                        <w:r>
                          <w:rPr>
                            <w:rFonts w:eastAsiaTheme="minorEastAsia" w:cstheme="minorHAnsi"/>
                            <w:highlight w:val="yellow"/>
                          </w:rPr>
                          <w:t>e – br. prethodno usvojenih etaza (e=3)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f – broj listova u etaži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e – broj etaža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1</w:t>
                        </w:r>
                        <w:r w:rsidR="00F15A2C">
                          <w:rPr>
                            <w:rFonts w:eastAsiaTheme="minorEastAsia" w:cstheme="minorHAnsi"/>
                          </w:rPr>
                          <w:t xml:space="preserve"> – 2,2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2</w:t>
                        </w:r>
                        <w:r w:rsidR="00F15A2C">
                          <w:rPr>
                            <w:rFonts w:eastAsiaTheme="minorEastAsia" w:cstheme="minorHAnsi"/>
                          </w:rPr>
                          <w:t xml:space="preserve"> – 4,2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3</w:t>
                        </w:r>
                        <w:r w:rsidR="00F15A2C">
                          <w:rPr>
                            <w:rFonts w:eastAsiaTheme="minorEastAsia" w:cstheme="minorHAnsi"/>
                          </w:rPr>
                          <w:t xml:space="preserve"> – 7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eastAsiaTheme="minorEastAsia"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4</w:t>
                        </w:r>
                        <w:r w:rsidR="00F15A2C">
                          <w:rPr>
                            <w:rFonts w:eastAsiaTheme="minorEastAsia" w:cstheme="minorHAnsi"/>
                          </w:rPr>
                          <w:t xml:space="preserve"> – 8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  <w:p w:rsidR="008B75A9" w:rsidRPr="005606AF" w:rsidRDefault="008B75A9" w:rsidP="008B75A9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5606AF">
                          <w:rPr>
                            <w:rFonts w:eastAsiaTheme="minorEastAsia" w:cstheme="minorHAnsi"/>
                          </w:rPr>
                          <w:t>z</w:t>
                        </w:r>
                        <w:r w:rsidRPr="005606AF">
                          <w:rPr>
                            <w:rFonts w:eastAsiaTheme="minorEastAsia" w:cstheme="minorHAnsi"/>
                            <w:vertAlign w:val="subscript"/>
                          </w:rPr>
                          <w:t>5</w:t>
                        </w:r>
                        <w:r w:rsidR="00F15A2C">
                          <w:rPr>
                            <w:rFonts w:eastAsiaTheme="minorEastAsia" w:cstheme="minorHAnsi"/>
                          </w:rPr>
                          <w:t xml:space="preserve"> – 12,5</w:t>
                        </w:r>
                        <w:r w:rsidRPr="005606AF">
                          <w:rPr>
                            <w:rFonts w:eastAsiaTheme="minorEastAsia" w:cstheme="minorHAnsi"/>
                          </w:rPr>
                          <w:t xml:space="preserve"> min</w:t>
                        </w:r>
                      </w:p>
                    </w:tc>
                  </w:tr>
                </w:tbl>
                <w:p w:rsidR="00EB528F" w:rsidRPr="008B75A9" w:rsidRDefault="00EB528F" w:rsidP="00664231">
                  <w:pPr>
                    <w:spacing w:after="0"/>
                    <w:rPr>
                      <w:rFonts w:eastAsiaTheme="minorEastAsia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6270AC" w:rsidP="00CF0E9E">
            <w:pPr>
              <w:jc w:val="center"/>
              <w:rPr>
                <w:rFonts w:ascii="Cambria Math" w:hAnsi="Cambria Math"/>
              </w:rPr>
            </w:pPr>
            <w:r w:rsidRPr="00351C5A">
              <w:rPr>
                <w:rFonts w:cstheme="minorHAnsi"/>
                <w:sz w:val="28"/>
              </w:rPr>
              <w:t>KAPACITET I BROJ SUŠARA ZA LJUŠTENI FURNI</w:t>
            </w:r>
            <w:r>
              <w:rPr>
                <w:rFonts w:cstheme="minorHAnsi"/>
                <w:sz w:val="28"/>
              </w:rPr>
              <w:t>R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Zadatak</w:t>
            </w:r>
          </w:p>
        </w:tc>
        <w:tc>
          <w:tcPr>
            <w:tcW w:w="567" w:type="dxa"/>
            <w:vAlign w:val="center"/>
          </w:tcPr>
          <w:p w:rsidR="00B64061" w:rsidRPr="008B75A9" w:rsidRDefault="00814215" w:rsidP="002D7C6D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D3A8E" w:rsidP="00B64061">
      <w:pPr>
        <w:rPr>
          <w:rFonts w:cstheme="minorHAnsi"/>
        </w:rPr>
      </w:pPr>
      <w:r w:rsidRPr="00BD3A8E"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smena za sušenje pojedinih debljina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E71E7F" w:rsidRPr="008B75A9" w:rsidTr="008B75A9"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BD3A8E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1..5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jc w:val="both"/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BD3A8E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4028.701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highlight w:val="green"/>
                                  </w:rPr>
                                  <m:t>44.194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cyan"/>
                              </w:rPr>
                              <m:t>91.159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BD3A8E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2566.411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highlight w:val="green"/>
                                  </w:rPr>
                                  <m:t>29.462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cyan"/>
                              </w:rPr>
                              <m:t>87.109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BD3A8E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2013.645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highlight w:val="green"/>
                                  </w:rPr>
                                  <m:t>27.779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cyan"/>
                              </w:rPr>
                              <m:t>72.488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BD3A8E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2288.618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highlight w:val="green"/>
                                  </w:rPr>
                                  <m:t>27.621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cyan"/>
                              </w:rPr>
                              <m:t>82.859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BD3A8E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3203.783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highlight w:val="green"/>
                                  </w:rPr>
                                  <m:t>24.748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highlight w:val="cyan"/>
                              </w:rPr>
                              <m:t>129.456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BD3A8E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-potreban broj smena za sušenje određene debljine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god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BD3A8E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-količina furnira koja dolazi na sušenje za određenu debljinu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( 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BD3A8E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1..5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-proizvodnost sušare sa trakom za određenu debljinu furnira(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sm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</w:tc>
                  </w:tr>
                </w:tbl>
                <w:p w:rsidR="008B75A9" w:rsidRPr="008B75A9" w:rsidRDefault="008B75A9" w:rsidP="008B75A9">
                  <w:pPr>
                    <w:rPr>
                      <w:rFonts w:ascii="Cambria Math" w:hAnsi="Cambria Math"/>
                    </w:rPr>
                  </w:pPr>
                </w:p>
                <w:p w:rsidR="008B75A9" w:rsidRPr="008B75A9" w:rsidRDefault="008B75A9" w:rsidP="008B75A9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="Cambria Math" w:hAnsi="Cambria Math"/>
                    </w:rPr>
                  </w:pPr>
                  <w:r w:rsidRPr="008B75A9">
                    <w:rPr>
                      <w:rFonts w:ascii="Cambria Math" w:hAnsi="Cambria Math"/>
                    </w:rPr>
                    <w:t>Potreban broj sušara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998"/>
                  </w:tblGrid>
                  <w:tr w:rsidR="008B75A9" w:rsidRPr="008B75A9" w:rsidTr="008B75A9">
                    <w:trPr>
                      <w:trHeight w:val="2706"/>
                    </w:trPr>
                    <w:tc>
                      <w:tcPr>
                        <w:tcW w:w="9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b×c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91.159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87.109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72.488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82.859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highlight w:val="cyan"/>
                                  </w:rPr>
                                  <m:t>129.456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260×2</m:t>
                                </m:r>
                              </m:den>
                            </m:f>
                          </m:oMath>
                        </m:oMathPara>
                      </w:p>
                      <w:p w:rsidR="008B75A9" w:rsidRPr="008B75A9" w:rsidRDefault="00866763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N=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highlight w:val="lightGray"/>
                              </w:rPr>
                              <m:t>0.89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</w:rPr>
                              <m:t>→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B050"/>
                                <w:highlight w:val="lightGray"/>
                              </w:rPr>
                              <m:t>1kom</m:t>
                            </m:r>
                          </m:oMath>
                        </m:oMathPara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 – potreban broj sušara (sušara)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n</w:t>
                        </w:r>
                        <w:r w:rsidRPr="008B75A9">
                          <w:rPr>
                            <w:rFonts w:ascii="Cambria Math" w:eastAsiaTheme="minorEastAsia" w:hAnsi="Cambria Math"/>
                            <w:vertAlign w:val="subscript"/>
                          </w:rPr>
                          <w:t>1</w:t>
                        </w:r>
                        <w:r w:rsidRPr="008B75A9">
                          <w:rPr>
                            <w:rFonts w:ascii="Cambria Math" w:eastAsiaTheme="minorEastAsia" w:hAnsi="Cambria Math"/>
                          </w:rPr>
                          <w:t xml:space="preserve"> – potreban broj smena za sušenje određene debljine furnira (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sm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god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b – broj radnih dana (dana)</w:t>
                        </w:r>
                      </w:p>
                      <w:p w:rsidR="008B75A9" w:rsidRPr="008B75A9" w:rsidRDefault="008B75A9" w:rsidP="008B75A9">
                        <w:pPr>
                          <w:rPr>
                            <w:rFonts w:ascii="Cambria Math" w:eastAsiaTheme="minorEastAsia" w:hAnsi="Cambria Math"/>
                          </w:rPr>
                        </w:pPr>
                        <w:r w:rsidRPr="008B75A9">
                          <w:rPr>
                            <w:rFonts w:ascii="Cambria Math" w:eastAsiaTheme="minorEastAsia" w:hAnsi="Cambria Math"/>
                          </w:rPr>
                          <w:t>c – broj smena (smena)</w:t>
                        </w:r>
                      </w:p>
                    </w:tc>
                  </w:tr>
                </w:tbl>
                <w:p w:rsidR="00EB528F" w:rsidRPr="008B75A9" w:rsidRDefault="00EB528F" w:rsidP="002D7C6D">
                  <w:pPr>
                    <w:spacing w:after="0"/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664231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Overio</w:t>
            </w:r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814215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09</w:t>
            </w:r>
            <w:r w:rsidR="00E71E7F">
              <w:rPr>
                <w:rFonts w:ascii="Cambria Math" w:hAnsi="Cambria Math"/>
              </w:rPr>
              <w:t>.04</w:t>
            </w:r>
            <w:r>
              <w:rPr>
                <w:rFonts w:ascii="Cambria Math" w:hAnsi="Cambria Math"/>
              </w:rPr>
              <w:t>.2020</w:t>
            </w:r>
            <w:r w:rsidR="005A3F65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2A3658" w:rsidRPr="00814215" w:rsidRDefault="00814215" w:rsidP="00CC0309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>Saša Vučićević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7E62"/>
    <w:multiLevelType w:val="hybridMultilevel"/>
    <w:tmpl w:val="84369AA4"/>
    <w:lvl w:ilvl="0" w:tplc="DBA6E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4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2824"/>
    <w:rsid w:val="000C32B7"/>
    <w:rsid w:val="000D315C"/>
    <w:rsid w:val="000D54E2"/>
    <w:rsid w:val="000F1FF4"/>
    <w:rsid w:val="001239D7"/>
    <w:rsid w:val="00146405"/>
    <w:rsid w:val="00147F77"/>
    <w:rsid w:val="001E6F76"/>
    <w:rsid w:val="002225D3"/>
    <w:rsid w:val="00273ADF"/>
    <w:rsid w:val="002A3658"/>
    <w:rsid w:val="002C3B46"/>
    <w:rsid w:val="002D7C6D"/>
    <w:rsid w:val="00351C5A"/>
    <w:rsid w:val="00363411"/>
    <w:rsid w:val="00373A86"/>
    <w:rsid w:val="003A2F44"/>
    <w:rsid w:val="003D2045"/>
    <w:rsid w:val="00425FCE"/>
    <w:rsid w:val="00426C39"/>
    <w:rsid w:val="004515C1"/>
    <w:rsid w:val="0045672C"/>
    <w:rsid w:val="00467E8D"/>
    <w:rsid w:val="00486464"/>
    <w:rsid w:val="0049600C"/>
    <w:rsid w:val="004E0EB4"/>
    <w:rsid w:val="00504E78"/>
    <w:rsid w:val="00506947"/>
    <w:rsid w:val="005606AF"/>
    <w:rsid w:val="00584AE4"/>
    <w:rsid w:val="005A3F65"/>
    <w:rsid w:val="005E33B5"/>
    <w:rsid w:val="005F69D5"/>
    <w:rsid w:val="0062583B"/>
    <w:rsid w:val="00626D55"/>
    <w:rsid w:val="006270AC"/>
    <w:rsid w:val="00646A1E"/>
    <w:rsid w:val="00654CA7"/>
    <w:rsid w:val="00664231"/>
    <w:rsid w:val="00690C0B"/>
    <w:rsid w:val="006949EF"/>
    <w:rsid w:val="00706FC3"/>
    <w:rsid w:val="00720480"/>
    <w:rsid w:val="00770FC7"/>
    <w:rsid w:val="007D3BF5"/>
    <w:rsid w:val="007F659F"/>
    <w:rsid w:val="0080705C"/>
    <w:rsid w:val="00814215"/>
    <w:rsid w:val="0083393A"/>
    <w:rsid w:val="00836F5F"/>
    <w:rsid w:val="008514FC"/>
    <w:rsid w:val="00862C18"/>
    <w:rsid w:val="008665B9"/>
    <w:rsid w:val="00866763"/>
    <w:rsid w:val="008A1FE9"/>
    <w:rsid w:val="008B386E"/>
    <w:rsid w:val="008B75A9"/>
    <w:rsid w:val="008D4F16"/>
    <w:rsid w:val="008D577A"/>
    <w:rsid w:val="008F49EE"/>
    <w:rsid w:val="0090424E"/>
    <w:rsid w:val="00942ACF"/>
    <w:rsid w:val="00974F32"/>
    <w:rsid w:val="009A0240"/>
    <w:rsid w:val="009B28B0"/>
    <w:rsid w:val="009F1604"/>
    <w:rsid w:val="00A02AC5"/>
    <w:rsid w:val="00A054C9"/>
    <w:rsid w:val="00A21C24"/>
    <w:rsid w:val="00AA639E"/>
    <w:rsid w:val="00B64061"/>
    <w:rsid w:val="00B66BB3"/>
    <w:rsid w:val="00B87901"/>
    <w:rsid w:val="00B90288"/>
    <w:rsid w:val="00BC3E1F"/>
    <w:rsid w:val="00BD3A8E"/>
    <w:rsid w:val="00BE4EBE"/>
    <w:rsid w:val="00C13611"/>
    <w:rsid w:val="00C24409"/>
    <w:rsid w:val="00C53AD5"/>
    <w:rsid w:val="00C62C5E"/>
    <w:rsid w:val="00CA5C7B"/>
    <w:rsid w:val="00CF0E9E"/>
    <w:rsid w:val="00D42066"/>
    <w:rsid w:val="00D853DB"/>
    <w:rsid w:val="00DF4337"/>
    <w:rsid w:val="00E44BDA"/>
    <w:rsid w:val="00E511A2"/>
    <w:rsid w:val="00E65850"/>
    <w:rsid w:val="00E71E7F"/>
    <w:rsid w:val="00E72B89"/>
    <w:rsid w:val="00EA4C7F"/>
    <w:rsid w:val="00EB528F"/>
    <w:rsid w:val="00ED11D5"/>
    <w:rsid w:val="00ED3859"/>
    <w:rsid w:val="00F01438"/>
    <w:rsid w:val="00F15A2C"/>
    <w:rsid w:val="00F97FC2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338AD-589E-4E2C-ABE8-92B56B2A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2020-04-10T15:03:00Z</dcterms:created>
  <dcterms:modified xsi:type="dcterms:W3CDTF">2020-04-10T15:03:00Z</dcterms:modified>
</cp:coreProperties>
</file>