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462DFE" w:rsidP="00146405">
            <w:pPr>
              <w:jc w:val="center"/>
            </w:pPr>
            <w:r>
              <w:t>12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893D9E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65499D" w:rsidRPr="00061944" w:rsidRDefault="0065499D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10536,056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9551,661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65499D" w:rsidRPr="00061944" w:rsidTr="0040247D">
                    <w:tc>
                      <w:tcPr>
                        <w:tcW w:w="3681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=398,919×0,0555</m:t>
                            </m:r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=22,14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6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65499D" w:rsidRPr="00061944" w:rsidTr="0040247D">
                    <w:tc>
                      <w:tcPr>
                        <w:tcW w:w="3681" w:type="dxa"/>
                      </w:tcPr>
                      <w:p w:rsidR="0065499D" w:rsidRPr="001E06D0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65499D" w:rsidRPr="001E06D0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65499D" w:rsidRPr="00061944" w:rsidTr="0040247D">
                    <w:tc>
                      <w:tcPr>
                        <w:tcW w:w="3681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450×5×0,8×0,82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=398,919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65499D" w:rsidRPr="00061944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p w:rsidR="0065499D" w:rsidRPr="00061944" w:rsidRDefault="0065499D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65499D" w:rsidRPr="00061944" w:rsidTr="0040247D">
                    <w:tc>
                      <w:tcPr>
                        <w:tcW w:w="3539" w:type="dxa"/>
                      </w:tcPr>
                      <w:p w:rsidR="0065499D" w:rsidRPr="001E06D0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10536,056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22,14×260×2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881A4B" w:rsidRDefault="0065499D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N=0,91→1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65499D" w:rsidRPr="00A02AC5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p w:rsidR="0065499D" w:rsidRPr="00010825" w:rsidRDefault="0065499D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65499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65499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65499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65499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1391,67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1770,877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2023,996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65499D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695,36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1644,796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65499D" w:rsidRPr="00061944" w:rsidRDefault="0065499D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2023,996</w:t>
                        </w:r>
                      </w:p>
                    </w:tc>
                  </w:tr>
                </w:tbl>
                <w:p w:rsidR="0065499D" w:rsidRDefault="0065499D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462DFE" w:rsidP="002D7C6D">
            <w:pPr>
              <w:jc w:val="center"/>
            </w:pPr>
            <w:r>
              <w:t>12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893D9E" w:rsidP="00146405">
      <w:r>
        <w:rPr>
          <w:noProof/>
          <w:lang w:val="en-US"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65499D" w:rsidRDefault="0065499D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65499D" w:rsidRPr="00010825" w:rsidRDefault="0065499D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Proizvnodnost 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65499D" w:rsidRPr="00061944" w:rsidTr="0040247D">
                    <w:tc>
                      <w:tcPr>
                        <w:tcW w:w="3823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450×30×0,85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=1247,28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65499D" w:rsidRPr="00061944" w:rsidRDefault="00893D9E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65499D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35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65499D" w:rsidRPr="00061944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p w:rsidR="0065499D" w:rsidRPr="00467649" w:rsidRDefault="0065499D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65499D" w:rsidRPr="00061944" w:rsidTr="0040247D">
                    <w:tc>
                      <w:tcPr>
                        <w:tcW w:w="3823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450×8×0,85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=1330,434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65499D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9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65499D" w:rsidRPr="00061944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p w:rsidR="0065499D" w:rsidRPr="005676FC" w:rsidRDefault="0065499D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65499D" w:rsidRPr="005676FC" w:rsidRDefault="0065499D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65499D" w:rsidRPr="00061944" w:rsidTr="00A9311D">
                    <w:tc>
                      <w:tcPr>
                        <w:tcW w:w="3686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2115643,052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=423128,61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65499D" w:rsidRPr="00061944" w:rsidTr="00A9311D">
                    <w:tc>
                      <w:tcPr>
                        <w:tcW w:w="3686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1391,67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=2115643,052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65499D" w:rsidRPr="00061944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65499D" w:rsidRPr="00061944" w:rsidTr="00A9311D">
                    <w:tc>
                      <w:tcPr>
                        <w:tcW w:w="3686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2115237,697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423047,539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65499D" w:rsidRPr="00061944" w:rsidTr="00A9311D">
                    <w:tc>
                      <w:tcPr>
                        <w:tcW w:w="3686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1770,877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=2115237,697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65499D" w:rsidRDefault="0065499D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462DFE" w:rsidP="002D7C6D">
            <w:pPr>
              <w:jc w:val="center"/>
            </w:pPr>
            <w:r>
              <w:t>12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893D9E" w:rsidP="00B64061">
      <w:r>
        <w:rPr>
          <w:noProof/>
          <w:lang w:val="en-US"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65499D" w:rsidRPr="00061944" w:rsidTr="00A9311D">
                    <w:tc>
                      <w:tcPr>
                        <w:tcW w:w="3544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2115380,436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423076,087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65499D" w:rsidRPr="00061944" w:rsidTr="00A9311D">
                    <w:tc>
                      <w:tcPr>
                        <w:tcW w:w="3544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2023,996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=2115380,434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65499D" w:rsidRPr="00061944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p w:rsidR="0065499D" w:rsidRPr="001E06D0" w:rsidRDefault="00893D9E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=1269252,236formata</m:t>
                      </m:r>
                    </m:oMath>
                  </m:oMathPara>
                </w:p>
                <w:p w:rsidR="0065499D" w:rsidRPr="005676FC" w:rsidRDefault="0065499D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65499D" w:rsidRPr="00061944" w:rsidTr="00A9311D">
                    <w:tc>
                      <w:tcPr>
                        <w:tcW w:w="3544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1269600,146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211600,024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65499D" w:rsidRPr="00061944" w:rsidTr="00A9311D">
                    <w:tc>
                      <w:tcPr>
                        <w:tcW w:w="3544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685,36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=1269600,146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65499D" w:rsidRPr="00061944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65499D" w:rsidRPr="00061944" w:rsidTr="00A9311D">
                    <w:tc>
                      <w:tcPr>
                        <w:tcW w:w="3544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1270564,061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211760,676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65499D" w:rsidRPr="00061944" w:rsidTr="00A9311D">
                    <w:tc>
                      <w:tcPr>
                        <w:tcW w:w="3544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1644,796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=1270564,061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65499D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p w:rsidR="0065499D" w:rsidRDefault="0065499D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462DFE" w:rsidP="0048715B">
            <w:pPr>
              <w:jc w:val="center"/>
            </w:pPr>
            <w:r>
              <w:t>12</w:t>
            </w:r>
            <w:bookmarkStart w:id="0" w:name="_GoBack"/>
            <w:bookmarkEnd w:id="0"/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893D9E" w:rsidP="00B64061">
      <w:r>
        <w:rPr>
          <w:noProof/>
          <w:lang w:val="en-US"/>
        </w:rPr>
        <w:pict>
          <v:shape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65499D" w:rsidRPr="00061944" w:rsidTr="00A9311D">
                    <w:tc>
                      <w:tcPr>
                        <w:tcW w:w="3544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1272953,459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212158,909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65499D" w:rsidRPr="00061944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65499D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65499D" w:rsidRPr="00061944" w:rsidTr="00A9311D">
                    <w:tc>
                      <w:tcPr>
                        <w:tcW w:w="3544" w:type="dxa"/>
                      </w:tcPr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2023,996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1E06D0" w:rsidRDefault="00893D9E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=1272953,459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65499D" w:rsidRPr="00061944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65499D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p w:rsidR="0065499D" w:rsidRPr="00B175FD" w:rsidRDefault="00893D9E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=635519,609 formata</m:t>
                      </m:r>
                    </m:oMath>
                  </m:oMathPara>
                </w:p>
                <w:p w:rsidR="0065499D" w:rsidRPr="005676FC" w:rsidRDefault="0065499D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65499D" w:rsidRPr="005676FC" w:rsidRDefault="0065499D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65499D" w:rsidTr="00A9311D">
                    <w:tc>
                      <w:tcPr>
                        <w:tcW w:w="4111" w:type="dxa"/>
                      </w:tcPr>
                      <w:p w:rsidR="0065499D" w:rsidRPr="00B175F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B175F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1269252,236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1455,163×260×2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881A4B" w:rsidRDefault="00893D9E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=1,95→2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65499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65499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65499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65499D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65499D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65499D" w:rsidRPr="00FE4568" w:rsidRDefault="0065499D" w:rsidP="00A02AC5">
                  <w:pPr>
                    <w:rPr>
                      <w:rFonts w:ascii="Cambria Math" w:hAnsi="Cambria Math"/>
                    </w:rPr>
                  </w:pPr>
                </w:p>
                <w:p w:rsidR="0065499D" w:rsidRPr="005676FC" w:rsidRDefault="0065499D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65499D" w:rsidTr="00A9311D">
                    <w:tc>
                      <w:tcPr>
                        <w:tcW w:w="4111" w:type="dxa"/>
                      </w:tcPr>
                      <w:p w:rsidR="0065499D" w:rsidRPr="00B175F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B175F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635519,609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1496,739×260×2</m:t>
                                </m:r>
                              </m:den>
                            </m:f>
                          </m:oMath>
                        </m:oMathPara>
                      </w:p>
                      <w:p w:rsidR="0065499D" w:rsidRPr="00881A4B" w:rsidRDefault="00893D9E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=0,91→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65499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65499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65499D" w:rsidRDefault="00893D9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65499D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65499D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65499D" w:rsidRDefault="0065499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65499D" w:rsidRDefault="0065499D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65499D" w:rsidRDefault="0065499D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4228B8" w:rsidP="0048715B">
            <w:pPr>
              <w:jc w:val="center"/>
            </w:pPr>
            <w:r>
              <w:t>16.4.2020</w:t>
            </w:r>
          </w:p>
        </w:tc>
        <w:tc>
          <w:tcPr>
            <w:tcW w:w="1250" w:type="pct"/>
            <w:vAlign w:val="center"/>
          </w:tcPr>
          <w:p w:rsidR="002A3658" w:rsidRDefault="004228B8" w:rsidP="0048715B">
            <w:pPr>
              <w:jc w:val="center"/>
            </w:pPr>
            <w:r>
              <w:t>Nikola Vranić 16/2017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E6F76"/>
    <w:rsid w:val="0023056E"/>
    <w:rsid w:val="002A1862"/>
    <w:rsid w:val="002A3658"/>
    <w:rsid w:val="002A56E0"/>
    <w:rsid w:val="002C3B46"/>
    <w:rsid w:val="002D7C6D"/>
    <w:rsid w:val="00363411"/>
    <w:rsid w:val="003A1023"/>
    <w:rsid w:val="003A7D9E"/>
    <w:rsid w:val="0040247D"/>
    <w:rsid w:val="004228B8"/>
    <w:rsid w:val="00462DFE"/>
    <w:rsid w:val="00467649"/>
    <w:rsid w:val="00486464"/>
    <w:rsid w:val="0048715B"/>
    <w:rsid w:val="0049600C"/>
    <w:rsid w:val="00506947"/>
    <w:rsid w:val="005676FC"/>
    <w:rsid w:val="005844E6"/>
    <w:rsid w:val="005E33B5"/>
    <w:rsid w:val="005F69D5"/>
    <w:rsid w:val="00626D55"/>
    <w:rsid w:val="006337E7"/>
    <w:rsid w:val="006346A6"/>
    <w:rsid w:val="00646A1E"/>
    <w:rsid w:val="0065499D"/>
    <w:rsid w:val="00664231"/>
    <w:rsid w:val="006D1A7C"/>
    <w:rsid w:val="00706FC3"/>
    <w:rsid w:val="00720480"/>
    <w:rsid w:val="007F659F"/>
    <w:rsid w:val="00813394"/>
    <w:rsid w:val="00831E56"/>
    <w:rsid w:val="008514FC"/>
    <w:rsid w:val="00881A4B"/>
    <w:rsid w:val="00893D9E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C24"/>
    <w:rsid w:val="00A9311D"/>
    <w:rsid w:val="00AC061B"/>
    <w:rsid w:val="00B059C0"/>
    <w:rsid w:val="00B47B51"/>
    <w:rsid w:val="00B64061"/>
    <w:rsid w:val="00B66BB3"/>
    <w:rsid w:val="00B90288"/>
    <w:rsid w:val="00C24409"/>
    <w:rsid w:val="00C34292"/>
    <w:rsid w:val="00C5680B"/>
    <w:rsid w:val="00C92217"/>
    <w:rsid w:val="00CA4771"/>
    <w:rsid w:val="00CA5C7B"/>
    <w:rsid w:val="00CF0E9E"/>
    <w:rsid w:val="00D256E5"/>
    <w:rsid w:val="00DF4337"/>
    <w:rsid w:val="00E248D4"/>
    <w:rsid w:val="00E44BDA"/>
    <w:rsid w:val="00E90C03"/>
    <w:rsid w:val="00E90C5A"/>
    <w:rsid w:val="00EA4C7F"/>
    <w:rsid w:val="00EB528F"/>
    <w:rsid w:val="00ED11D5"/>
    <w:rsid w:val="00ED3859"/>
    <w:rsid w:val="00F626D1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62E5D-0BE3-4163-8D1A-3A228C4B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Siniša Badrić</dc:creator>
  <cp:lastModifiedBy>Rozalija Palkovac</cp:lastModifiedBy>
  <cp:revision>2</cp:revision>
  <cp:lastPrinted>2018-05-04T15:18:00Z</cp:lastPrinted>
  <dcterms:created xsi:type="dcterms:W3CDTF">2020-04-18T13:08:00Z</dcterms:created>
  <dcterms:modified xsi:type="dcterms:W3CDTF">2020-04-18T13:08:00Z</dcterms:modified>
</cp:coreProperties>
</file>